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01F95" w14:textId="0E35077E" w:rsidR="009E5C26" w:rsidRPr="00101A9A" w:rsidRDefault="00373133" w:rsidP="009E5C26">
      <w:pPr>
        <w:tabs>
          <w:tab w:val="left" w:pos="1985"/>
        </w:tabs>
        <w:rPr>
          <w:rFonts w:ascii="Arial" w:hAnsi="Arial" w:cs="Arial"/>
          <w:sz w:val="24"/>
          <w:szCs w:val="24"/>
        </w:rPr>
      </w:pPr>
      <w:r w:rsidRPr="00101A9A">
        <w:rPr>
          <w:rFonts w:ascii="Arial" w:hAnsi="Arial" w:cs="Arial"/>
          <w:sz w:val="24"/>
          <w:szCs w:val="24"/>
        </w:rPr>
        <w:t>3GPP TSG-RAN WG4 Meeting #90</w:t>
      </w:r>
      <w:r w:rsidR="009E5C26" w:rsidRPr="00101A9A">
        <w:rPr>
          <w:rFonts w:ascii="Arial" w:hAnsi="Arial" w:cs="Arial"/>
          <w:sz w:val="24"/>
          <w:szCs w:val="24"/>
        </w:rPr>
        <w:tab/>
      </w:r>
      <w:r w:rsidR="009E5C26" w:rsidRPr="00101A9A">
        <w:rPr>
          <w:rFonts w:ascii="Arial" w:hAnsi="Arial" w:cs="Arial"/>
          <w:sz w:val="24"/>
          <w:szCs w:val="24"/>
        </w:rPr>
        <w:tab/>
      </w:r>
      <w:r w:rsidR="009E5C26" w:rsidRPr="00101A9A">
        <w:rPr>
          <w:rFonts w:ascii="Arial" w:hAnsi="Arial" w:cs="Arial"/>
          <w:sz w:val="24"/>
          <w:szCs w:val="24"/>
        </w:rPr>
        <w:tab/>
      </w:r>
      <w:r w:rsidR="009E5C26" w:rsidRPr="00101A9A">
        <w:rPr>
          <w:rFonts w:ascii="Arial" w:hAnsi="Arial" w:cs="Arial"/>
          <w:sz w:val="24"/>
          <w:szCs w:val="24"/>
        </w:rPr>
        <w:tab/>
      </w:r>
      <w:r w:rsidR="009E5C26" w:rsidRPr="00101A9A">
        <w:rPr>
          <w:rFonts w:ascii="Arial" w:hAnsi="Arial" w:cs="Arial"/>
          <w:sz w:val="24"/>
          <w:szCs w:val="24"/>
        </w:rPr>
        <w:tab/>
      </w:r>
      <w:r w:rsidR="009E5C26" w:rsidRPr="00101A9A">
        <w:rPr>
          <w:rFonts w:ascii="Arial" w:hAnsi="Arial" w:cs="Arial"/>
          <w:sz w:val="24"/>
          <w:szCs w:val="24"/>
        </w:rPr>
        <w:tab/>
      </w:r>
      <w:r w:rsidRPr="00101A9A">
        <w:rPr>
          <w:rFonts w:ascii="Arial" w:hAnsi="Arial" w:cs="Arial"/>
          <w:b/>
          <w:sz w:val="24"/>
          <w:szCs w:val="24"/>
        </w:rPr>
        <w:t>R4-19</w:t>
      </w:r>
      <w:r w:rsidR="00FD1496" w:rsidRPr="00FD1496">
        <w:rPr>
          <w:rFonts w:ascii="Arial" w:hAnsi="Arial" w:cs="Arial"/>
          <w:b/>
          <w:sz w:val="24"/>
          <w:szCs w:val="24"/>
        </w:rPr>
        <w:t>01796</w:t>
      </w:r>
    </w:p>
    <w:p w14:paraId="426519AF" w14:textId="0802EAD7" w:rsidR="001B17CD" w:rsidRPr="00101A9A" w:rsidRDefault="00373133" w:rsidP="009E5C26">
      <w:pPr>
        <w:pStyle w:val="Header"/>
        <w:tabs>
          <w:tab w:val="clear" w:pos="8306"/>
          <w:tab w:val="right" w:pos="9864"/>
        </w:tabs>
        <w:spacing w:after="120"/>
        <w:rPr>
          <w:rFonts w:ascii="Arial" w:hAnsi="Arial" w:cs="Arial"/>
          <w:sz w:val="24"/>
        </w:rPr>
      </w:pPr>
      <w:r w:rsidRPr="00101A9A">
        <w:rPr>
          <w:rFonts w:ascii="Arial" w:hAnsi="Arial" w:cs="Arial"/>
          <w:sz w:val="24"/>
          <w:szCs w:val="24"/>
        </w:rPr>
        <w:t>Athens, Greece, 25 February - 1</w:t>
      </w:r>
      <w:r w:rsidR="009E5C26" w:rsidRPr="00101A9A">
        <w:rPr>
          <w:rFonts w:ascii="Arial" w:hAnsi="Arial" w:cs="Arial"/>
          <w:sz w:val="24"/>
          <w:szCs w:val="24"/>
        </w:rPr>
        <w:t xml:space="preserve"> </w:t>
      </w:r>
      <w:r w:rsidRPr="00101A9A">
        <w:rPr>
          <w:rFonts w:ascii="Arial" w:hAnsi="Arial" w:cs="Arial"/>
          <w:sz w:val="24"/>
          <w:szCs w:val="24"/>
        </w:rPr>
        <w:t>March 2019</w:t>
      </w:r>
      <w:r w:rsidR="001B17CD" w:rsidRPr="00101A9A">
        <w:rPr>
          <w:rFonts w:ascii="Arial" w:hAnsi="Arial" w:cs="Arial"/>
          <w:sz w:val="24"/>
        </w:rPr>
        <w:tab/>
      </w:r>
    </w:p>
    <w:p w14:paraId="3B97220C" w14:textId="77777777" w:rsidR="001B17CD" w:rsidRPr="00101A9A" w:rsidRDefault="001B17CD" w:rsidP="001B17CD">
      <w:pPr>
        <w:spacing w:after="120"/>
        <w:ind w:left="1985" w:hanging="1985"/>
        <w:rPr>
          <w:rFonts w:ascii="Arial" w:hAnsi="Arial" w:cs="Arial"/>
          <w:b/>
        </w:rPr>
      </w:pPr>
    </w:p>
    <w:p w14:paraId="3001E72C" w14:textId="6321CD30" w:rsidR="001B17CD" w:rsidRPr="00101A9A" w:rsidRDefault="001B17CD" w:rsidP="001B17CD">
      <w:pPr>
        <w:spacing w:after="120"/>
        <w:ind w:left="1985" w:hanging="1985"/>
        <w:rPr>
          <w:rFonts w:ascii="Arial" w:hAnsi="Arial" w:cs="Arial"/>
          <w:bCs/>
        </w:rPr>
      </w:pPr>
      <w:r w:rsidRPr="00101A9A">
        <w:rPr>
          <w:rFonts w:ascii="Arial" w:hAnsi="Arial" w:cs="Arial"/>
          <w:b/>
        </w:rPr>
        <w:t>Source:</w:t>
      </w:r>
      <w:r w:rsidRPr="00101A9A">
        <w:rPr>
          <w:rFonts w:ascii="Arial" w:hAnsi="Arial" w:cs="Arial"/>
          <w:b/>
        </w:rPr>
        <w:tab/>
      </w:r>
      <w:r w:rsidRPr="00101A9A">
        <w:rPr>
          <w:rFonts w:ascii="Arial" w:hAnsi="Arial" w:cs="Arial"/>
        </w:rPr>
        <w:t>Sony</w:t>
      </w:r>
    </w:p>
    <w:p w14:paraId="540E6165" w14:textId="3F4753EF" w:rsidR="001B17CD" w:rsidRPr="00101A9A" w:rsidRDefault="001B17CD" w:rsidP="001B17CD">
      <w:pPr>
        <w:spacing w:after="120"/>
        <w:ind w:left="1985" w:hanging="1985"/>
        <w:rPr>
          <w:rFonts w:ascii="Arial" w:hAnsi="Arial" w:cs="Arial"/>
        </w:rPr>
      </w:pPr>
      <w:r w:rsidRPr="00101A9A">
        <w:rPr>
          <w:rFonts w:ascii="Arial" w:hAnsi="Arial" w:cs="Arial"/>
          <w:b/>
        </w:rPr>
        <w:t>Title:</w:t>
      </w:r>
      <w:r w:rsidRPr="00101A9A">
        <w:rPr>
          <w:rFonts w:ascii="Arial" w:hAnsi="Arial" w:cs="Arial"/>
          <w:b/>
        </w:rPr>
        <w:tab/>
      </w:r>
      <w:r w:rsidR="00206300" w:rsidRPr="00101A9A">
        <w:rPr>
          <w:rFonts w:ascii="Arial" w:hAnsi="Arial" w:cs="Arial"/>
        </w:rPr>
        <w:t>Beam C</w:t>
      </w:r>
      <w:r w:rsidRPr="00101A9A">
        <w:rPr>
          <w:rFonts w:ascii="Arial" w:hAnsi="Arial" w:cs="Arial"/>
        </w:rPr>
        <w:t>orrespondence</w:t>
      </w:r>
      <w:r w:rsidR="00F13524" w:rsidRPr="00101A9A">
        <w:rPr>
          <w:rFonts w:ascii="Arial" w:hAnsi="Arial" w:cs="Arial"/>
        </w:rPr>
        <w:t xml:space="preserve">, </w:t>
      </w:r>
      <w:r w:rsidR="00A0539A" w:rsidRPr="00101A9A">
        <w:rPr>
          <w:rFonts w:ascii="Arial" w:hAnsi="Arial" w:cs="Arial"/>
        </w:rPr>
        <w:t>DL reference signal</w:t>
      </w:r>
    </w:p>
    <w:p w14:paraId="46BB346F" w14:textId="5A185F2B" w:rsidR="001B17CD" w:rsidRPr="00101A9A" w:rsidRDefault="001B17CD" w:rsidP="001B17CD">
      <w:pPr>
        <w:spacing w:after="120"/>
        <w:ind w:left="1985" w:hanging="1985"/>
        <w:rPr>
          <w:rFonts w:ascii="Arial" w:hAnsi="Arial" w:cs="Arial"/>
          <w:bCs/>
        </w:rPr>
      </w:pPr>
      <w:r w:rsidRPr="00101A9A">
        <w:rPr>
          <w:rFonts w:ascii="Arial" w:hAnsi="Arial" w:cs="Arial"/>
          <w:b/>
        </w:rPr>
        <w:t>Agenda item:</w:t>
      </w:r>
      <w:r w:rsidRPr="00101A9A">
        <w:rPr>
          <w:rFonts w:ascii="Arial" w:hAnsi="Arial" w:cs="Arial"/>
          <w:b/>
        </w:rPr>
        <w:tab/>
      </w:r>
      <w:r w:rsidR="004110C5" w:rsidRPr="00101A9A">
        <w:rPr>
          <w:rFonts w:ascii="Arial" w:hAnsi="Arial" w:cs="Arial"/>
        </w:rPr>
        <w:t>6.7.8.3</w:t>
      </w:r>
    </w:p>
    <w:p w14:paraId="12B3F2E2" w14:textId="62120017" w:rsidR="00CA3A81" w:rsidRPr="00101A9A" w:rsidRDefault="001B17CD" w:rsidP="001B17CD">
      <w:pPr>
        <w:spacing w:after="120"/>
        <w:ind w:left="1985" w:hanging="1985"/>
        <w:rPr>
          <w:rFonts w:ascii="Arial" w:hAnsi="Arial" w:cs="Arial"/>
          <w:bCs/>
        </w:rPr>
      </w:pPr>
      <w:r w:rsidRPr="00101A9A">
        <w:rPr>
          <w:rFonts w:ascii="Arial" w:hAnsi="Arial" w:cs="Arial"/>
          <w:b/>
        </w:rPr>
        <w:t>Document for:</w:t>
      </w:r>
      <w:r w:rsidRPr="00101A9A">
        <w:rPr>
          <w:rFonts w:ascii="Arial" w:hAnsi="Arial" w:cs="Arial"/>
          <w:b/>
        </w:rPr>
        <w:tab/>
      </w:r>
      <w:r w:rsidRPr="00101A9A">
        <w:rPr>
          <w:rFonts w:ascii="Arial" w:hAnsi="Arial" w:cs="Arial"/>
          <w:bCs/>
        </w:rPr>
        <w:t>Approval</w:t>
      </w:r>
    </w:p>
    <w:p w14:paraId="1C79749D" w14:textId="77777777" w:rsidR="00CA3A81" w:rsidRPr="00101A9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101A9A">
        <w:t>Background</w:t>
      </w:r>
    </w:p>
    <w:p w14:paraId="7DC1B7AB" w14:textId="00543D88" w:rsidR="00F13524" w:rsidRPr="00101A9A" w:rsidRDefault="00533CA6" w:rsidP="00F13524">
      <w:pPr>
        <w:pStyle w:val="BodyText"/>
      </w:pPr>
      <w:r w:rsidRPr="00101A9A">
        <w:t>Beam correspondence was discussed in RAN #82 in Sorrento. It was decided</w:t>
      </w:r>
      <w:r w:rsidR="00D37087" w:rsidRPr="00101A9A">
        <w:t xml:space="preserve"> in </w:t>
      </w:r>
      <w:r w:rsidR="00D37087" w:rsidRPr="00101A9A">
        <w:fldChar w:fldCharType="begin"/>
      </w:r>
      <w:r w:rsidR="00D37087" w:rsidRPr="00101A9A">
        <w:instrText xml:space="preserve"> REF _Ref536518839 \r \h </w:instrText>
      </w:r>
      <w:r w:rsidR="00D37087" w:rsidRPr="00101A9A">
        <w:fldChar w:fldCharType="separate"/>
      </w:r>
      <w:r w:rsidR="002362CF">
        <w:t>[1]</w:t>
      </w:r>
      <w:r w:rsidR="00D37087" w:rsidRPr="00101A9A">
        <w:fldChar w:fldCharType="end"/>
      </w:r>
      <w:r w:rsidR="00726B20" w:rsidRPr="00101A9A">
        <w:t xml:space="preserve"> </w:t>
      </w:r>
      <w:r w:rsidR="007F4C54" w:rsidRPr="00101A9A">
        <w:t xml:space="preserve">(also showed below) </w:t>
      </w:r>
      <w:r w:rsidR="00726B20" w:rsidRPr="00101A9A">
        <w:t xml:space="preserve">that the UE shall set the capability </w:t>
      </w:r>
      <w:r w:rsidR="00F13524" w:rsidRPr="00101A9A">
        <w:t>signaling</w:t>
      </w:r>
      <w:r w:rsidR="00726B20" w:rsidRPr="00101A9A">
        <w:t xml:space="preserve"> bit whether Beam Correspondence (BC) is fulfilled without Up-Link (UL) beam sweeping or UL beam sweeping is needed </w:t>
      </w:r>
      <w:r w:rsidR="00A0539A" w:rsidRPr="00101A9A">
        <w:t>to</w:t>
      </w:r>
      <w:r w:rsidR="00726B20" w:rsidRPr="00101A9A">
        <w:t xml:space="preserve"> meet the BC requirement.</w:t>
      </w:r>
      <w:r w:rsidR="00D129F9" w:rsidRPr="00101A9A">
        <w:t xml:space="preserve"> </w:t>
      </w:r>
    </w:p>
    <w:p w14:paraId="3E365246" w14:textId="3AE869CE" w:rsidR="001B17CD" w:rsidRPr="00101A9A" w:rsidRDefault="001B17CD" w:rsidP="008661CA">
      <w:pPr>
        <w:pStyle w:val="BodyText"/>
      </w:pPr>
    </w:p>
    <w:p w14:paraId="02306E56" w14:textId="77777777" w:rsidR="008B591E" w:rsidRPr="00101A9A" w:rsidRDefault="008B591E" w:rsidP="008661CA">
      <w:pPr>
        <w:pStyle w:val="BodyText"/>
      </w:pPr>
      <w:r w:rsidRPr="00101A9A">
        <w:rPr>
          <w:noProof/>
          <w:lang w:eastAsia="ja-JP"/>
        </w:rPr>
        <mc:AlternateContent>
          <mc:Choice Requires="wps">
            <w:drawing>
              <wp:inline distT="0" distB="0" distL="0" distR="0" wp14:anchorId="02874112" wp14:editId="0E0C1FE6">
                <wp:extent cx="6264275" cy="3397250"/>
                <wp:effectExtent l="0" t="0" r="22225" b="247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397250"/>
                        </a:xfrm>
                        <a:prstGeom prst="rect">
                          <a:avLst/>
                        </a:prstGeom>
                        <a:solidFill>
                          <a:srgbClr val="FFFFFF"/>
                        </a:solidFill>
                        <a:ln w="9525">
                          <a:solidFill>
                            <a:srgbClr val="000000"/>
                          </a:solidFill>
                          <a:miter lim="800000"/>
                          <a:headEnd/>
                          <a:tailEnd/>
                        </a:ln>
                      </wps:spPr>
                      <wps:txbx>
                        <w:txbxContent>
                          <w:p w14:paraId="58898868" w14:textId="326B8D3D"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Proposal</w:t>
                            </w:r>
                          </w:p>
                          <w:p w14:paraId="4DA1F039" w14:textId="77777777" w:rsidR="007D1AF7" w:rsidRDefault="007D1AF7" w:rsidP="008B591E">
                            <w:pPr>
                              <w:wordWrap w:val="0"/>
                              <w:contextualSpacing/>
                              <w:rPr>
                                <w:rFonts w:ascii="Calibri" w:eastAsia="Malgun Gothic" w:hAnsi="Calibri" w:cs="Calibri"/>
                                <w:color w:val="000000"/>
                                <w:kern w:val="24"/>
                                <w:sz w:val="21"/>
                                <w:szCs w:val="28"/>
                                <w:lang w:eastAsia="ja-JP"/>
                              </w:rPr>
                            </w:pPr>
                          </w:p>
                          <w:p w14:paraId="37467AD4"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Clarify in TS 38.306 that beam correspondence (UE feature 2-20) is applicable only for FR2</w:t>
                            </w:r>
                          </w:p>
                          <w:p w14:paraId="25E2E205"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Beam correspondence is mandatory with the capability signaling </w:t>
                            </w:r>
                            <w:r w:rsidRPr="008B591E">
                              <w:rPr>
                                <w:rFonts w:ascii="Calibri" w:eastAsia="Malgun Gothic" w:hAnsi="Calibri" w:cs="Calibri"/>
                                <w:color w:val="FF0000"/>
                                <w:kern w:val="24"/>
                                <w:sz w:val="21"/>
                                <w:szCs w:val="28"/>
                                <w:lang w:eastAsia="ja-JP"/>
                              </w:rPr>
                              <w:t>definition as below (UE feature 2-20)</w:t>
                            </w:r>
                            <w:r w:rsidRPr="008B591E">
                              <w:rPr>
                                <w:rFonts w:ascii="Calibri" w:eastAsia="Malgun Gothic" w:hAnsi="Calibri" w:cs="Calibri"/>
                                <w:color w:val="FF0000"/>
                                <w:kern w:val="24"/>
                                <w:sz w:val="21"/>
                                <w:szCs w:val="28"/>
                                <w:u w:val="single"/>
                                <w:lang w:eastAsia="ja-JP"/>
                              </w:rPr>
                              <w:t xml:space="preserve"> </w:t>
                            </w:r>
                          </w:p>
                          <w:p w14:paraId="0C05ACD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without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1</w:t>
                            </w:r>
                          </w:p>
                          <w:p w14:paraId="50C47179"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0</w:t>
                            </w:r>
                          </w:p>
                          <w:p w14:paraId="1B41FFBB"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Uplink beam management (UE feature 2-30) is UE optional with capability signaling</w:t>
                            </w:r>
                          </w:p>
                          <w:p w14:paraId="4DFC7B6E"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feature 2-30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be set to 1 if UE feature 2-20 is set to 0</w:t>
                            </w:r>
                          </w:p>
                          <w:p w14:paraId="6A180446"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For the UE meeting the minimum peak EIRP and spherical coverage requirements without the uplink beam sweeping, the uplink beam management (UE feature 2-30) is optional</w:t>
                            </w:r>
                          </w:p>
                          <w:p w14:paraId="3668DF0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define details of the beam correspondence tolerance requirements given in the next slide </w:t>
                            </w:r>
                          </w:p>
                          <w:p w14:paraId="7041C598"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Remove the contents of section 6.6.4 of the big</w:t>
                            </w:r>
                            <w:r w:rsidRPr="008B591E">
                              <w:rPr>
                                <w:rFonts w:ascii="Calibri" w:eastAsia="Malgun Gothic" w:hAnsi="Calibri" w:cs="Calibri"/>
                                <w:color w:val="000000"/>
                                <w:kern w:val="24"/>
                                <w:sz w:val="21"/>
                                <w:szCs w:val="28"/>
                                <w:lang w:eastAsia="ko-KR"/>
                              </w:rPr>
                              <w:t xml:space="preserve"> </w:t>
                            </w:r>
                            <w:r w:rsidRPr="008B591E">
                              <w:rPr>
                                <w:rFonts w:ascii="Calibri" w:eastAsia="Malgun Gothic" w:hAnsi="Calibri" w:cs="Calibri"/>
                                <w:color w:val="000000"/>
                                <w:kern w:val="24"/>
                                <w:sz w:val="21"/>
                                <w:szCs w:val="28"/>
                                <w:lang w:eastAsia="ja-JP"/>
                              </w:rPr>
                              <w:t xml:space="preserve">CR to 38.101-2 in RP-182359  </w:t>
                            </w:r>
                          </w:p>
                          <w:p w14:paraId="26464A30"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No change on the existing RAN4 agreement on minimum peak EIRP and spherical coverage requirements in TS 38.101-2 section 6.2.1.3 </w:t>
                            </w:r>
                          </w:p>
                          <w:p w14:paraId="7198D18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revise the test procedure for minimum peak EIRP and spherical coverage requirements so that the UE may rely on uplink beam sweeping during the test based on OEM declaration among the followings: </w:t>
                            </w:r>
                          </w:p>
                          <w:p w14:paraId="0EABFE5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only</w:t>
                            </w:r>
                          </w:p>
                          <w:p w14:paraId="7748391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and uplink beam sweeping</w:t>
                            </w:r>
                          </w:p>
                          <w:p w14:paraId="28C26AF7"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Beam correspondence requirement for all UEs consists of three requirements as follows:</w:t>
                            </w:r>
                          </w:p>
                          <w:p w14:paraId="458E5049"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Req1: Minimum peak EIRP requirement</w:t>
                            </w:r>
                          </w:p>
                          <w:p w14:paraId="7FAAD01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Req2: Spherical coverage requirement</w:t>
                            </w:r>
                          </w:p>
                          <w:p w14:paraId="56FDFECF"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FF0000"/>
                                <w:kern w:val="24"/>
                                <w:sz w:val="18"/>
                                <w:szCs w:val="18"/>
                                <w:lang w:eastAsia="ja-JP"/>
                              </w:rPr>
                              <w:t>Req3: Beam correspondence tolerance requirement</w:t>
                            </w:r>
                          </w:p>
                          <w:p w14:paraId="69254029"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The UE meeting Req1 and Req2 without the uplink beam sweeping is considered to have met Req3</w:t>
                            </w:r>
                          </w:p>
                          <w:p w14:paraId="551B537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 xml:space="preserve">The UE meeting Req1 and Req2 with the uplink beam sweeping shall be tested against the beam correspondence tolerance requirement (i.e., Req3) in the next slide </w:t>
                            </w:r>
                          </w:p>
                          <w:p w14:paraId="01CEB620" w14:textId="77777777" w:rsidR="008B591E" w:rsidRPr="008B591E" w:rsidRDefault="008B591E" w:rsidP="008B591E">
                            <w:pPr>
                              <w:ind w:left="284" w:hanging="284"/>
                              <w:rPr>
                                <w:b/>
                                <w:bCs/>
                                <w:sz w:val="10"/>
                              </w:rPr>
                            </w:pPr>
                          </w:p>
                        </w:txbxContent>
                      </wps:txbx>
                      <wps:bodyPr rot="0" vert="horz" wrap="square" lIns="91440" tIns="45720" rIns="91440" bIns="45720" anchor="t" anchorCtr="0">
                        <a:spAutoFit/>
                      </wps:bodyPr>
                    </wps:wsp>
                  </a:graphicData>
                </a:graphic>
              </wp:inline>
            </w:drawing>
          </mc:Choice>
          <mc:Fallback>
            <w:pict>
              <v:shapetype w14:anchorId="02874112" id="_x0000_t202" coordsize="21600,21600" o:spt="202" path="m,l,21600r21600,l21600,xe">
                <v:stroke joinstyle="miter"/>
                <v:path gradientshapeok="t" o:connecttype="rect"/>
              </v:shapetype>
              <v:shape id="Text Box 2" o:spid="_x0000_s1026" type="#_x0000_t202" style="width:493.25pt;height:2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">
                <v:textbox style="mso-fit-shape-to-text:t">
                  <w:txbxContent>
                    <w:p w14:paraId="58898868" w14:textId="326B8D3D"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Proposal</w:t>
                      </w:r>
                    </w:p>
                    <w:p w14:paraId="4DA1F039" w14:textId="77777777" w:rsidR="007D1AF7" w:rsidRDefault="007D1AF7" w:rsidP="008B591E">
                      <w:pPr>
                        <w:wordWrap w:val="0"/>
                        <w:contextualSpacing/>
                        <w:rPr>
                          <w:rFonts w:ascii="Calibri" w:eastAsia="Malgun Gothic" w:hAnsi="Calibri" w:cs="Calibri"/>
                          <w:color w:val="000000"/>
                          <w:kern w:val="24"/>
                          <w:sz w:val="21"/>
                          <w:szCs w:val="28"/>
                          <w:lang w:eastAsia="ja-JP"/>
                        </w:rPr>
                      </w:pPr>
                    </w:p>
                    <w:p w14:paraId="37467AD4"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Clarify in TS 38.306 that beam correspondence (UE feature 2-20) is applicable only for FR2</w:t>
                      </w:r>
                    </w:p>
                    <w:p w14:paraId="25E2E205"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Beam correspondence is mandatory with the capability signaling </w:t>
                      </w:r>
                      <w:r w:rsidRPr="008B591E">
                        <w:rPr>
                          <w:rFonts w:ascii="Calibri" w:eastAsia="Malgun Gothic" w:hAnsi="Calibri" w:cs="Calibri"/>
                          <w:color w:val="FF0000"/>
                          <w:kern w:val="24"/>
                          <w:sz w:val="21"/>
                          <w:szCs w:val="28"/>
                          <w:lang w:eastAsia="ja-JP"/>
                        </w:rPr>
                        <w:t>definition as below (UE feature 2-20)</w:t>
                      </w:r>
                      <w:r w:rsidRPr="008B591E">
                        <w:rPr>
                          <w:rFonts w:ascii="Calibri" w:eastAsia="Malgun Gothic" w:hAnsi="Calibri" w:cs="Calibri"/>
                          <w:color w:val="FF0000"/>
                          <w:kern w:val="24"/>
                          <w:sz w:val="21"/>
                          <w:szCs w:val="28"/>
                          <w:u w:val="single"/>
                          <w:lang w:eastAsia="ja-JP"/>
                        </w:rPr>
                        <w:t xml:space="preserve"> </w:t>
                      </w:r>
                    </w:p>
                    <w:p w14:paraId="0C05ACD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without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1</w:t>
                      </w:r>
                    </w:p>
                    <w:p w14:paraId="50C47179"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000000"/>
                          <w:kern w:val="24"/>
                          <w:sz w:val="18"/>
                          <w:szCs w:val="18"/>
                          <w:lang w:eastAsia="ja-JP"/>
                        </w:rPr>
                        <w:t xml:space="preserve">UE that fulfills the beam correspondence requirement with the uplink beam sweeping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set the bit to 0</w:t>
                      </w:r>
                    </w:p>
                    <w:p w14:paraId="1B41FFBB"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Uplink beam management (UE feature 2-30) is UE optional with capability signaling</w:t>
                      </w:r>
                    </w:p>
                    <w:p w14:paraId="4DFC7B6E"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 xml:space="preserve">UE feature 2-30 </w:t>
                      </w:r>
                      <w:r w:rsidRPr="008B591E">
                        <w:rPr>
                          <w:rFonts w:ascii="Calibri" w:eastAsia="Malgun Gothic" w:hAnsi="Calibri" w:cs="Calibri"/>
                          <w:color w:val="FF0000"/>
                          <w:kern w:val="24"/>
                          <w:sz w:val="18"/>
                          <w:szCs w:val="18"/>
                          <w:lang w:eastAsia="ja-JP"/>
                        </w:rPr>
                        <w:t>shall</w:t>
                      </w:r>
                      <w:r w:rsidRPr="008B591E">
                        <w:rPr>
                          <w:rFonts w:ascii="Calibri" w:eastAsia="Malgun Gothic" w:hAnsi="Calibri" w:cs="Calibri"/>
                          <w:color w:val="000000"/>
                          <w:kern w:val="24"/>
                          <w:sz w:val="18"/>
                          <w:szCs w:val="18"/>
                          <w:lang w:eastAsia="ja-JP"/>
                        </w:rPr>
                        <w:t xml:space="preserve"> be set to 1 if UE feature 2-20 is set to 0</w:t>
                      </w:r>
                    </w:p>
                    <w:p w14:paraId="6A180446"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For the UE meeting the minimum peak EIRP and spherical coverage requirements without the uplink beam sweeping, the uplink beam management (UE feature 2-30) is optional</w:t>
                      </w:r>
                    </w:p>
                    <w:p w14:paraId="3668DF0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define details of the beam correspondence tolerance requirements given in the next slide </w:t>
                      </w:r>
                    </w:p>
                    <w:p w14:paraId="7041C598"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Remove the contents of section 6.6.4 of the big</w:t>
                      </w:r>
                      <w:r w:rsidRPr="008B591E">
                        <w:rPr>
                          <w:rFonts w:ascii="Calibri" w:eastAsia="Malgun Gothic" w:hAnsi="Calibri" w:cs="Calibri"/>
                          <w:color w:val="000000"/>
                          <w:kern w:val="24"/>
                          <w:sz w:val="21"/>
                          <w:szCs w:val="28"/>
                          <w:lang w:eastAsia="ko-KR"/>
                        </w:rPr>
                        <w:t xml:space="preserve"> </w:t>
                      </w:r>
                      <w:r w:rsidRPr="008B591E">
                        <w:rPr>
                          <w:rFonts w:ascii="Calibri" w:eastAsia="Malgun Gothic" w:hAnsi="Calibri" w:cs="Calibri"/>
                          <w:color w:val="000000"/>
                          <w:kern w:val="24"/>
                          <w:sz w:val="21"/>
                          <w:szCs w:val="28"/>
                          <w:lang w:eastAsia="ja-JP"/>
                        </w:rPr>
                        <w:t xml:space="preserve">CR to 38.101-2 in RP-182359  </w:t>
                      </w:r>
                    </w:p>
                    <w:p w14:paraId="26464A30"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No change on the existing RAN4 agreement on minimum peak EIRP and spherical coverage requirements in TS 38.101-2 section 6.2.1.3 </w:t>
                      </w:r>
                    </w:p>
                    <w:p w14:paraId="7198D18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000000"/>
                          <w:kern w:val="24"/>
                          <w:sz w:val="21"/>
                          <w:szCs w:val="28"/>
                          <w:lang w:eastAsia="ja-JP"/>
                        </w:rPr>
                        <w:t xml:space="preserve">RAN4 to revise the test procedure for minimum peak EIRP and spherical coverage requirements so that the UE may rely on uplink beam sweeping during the test based on OEM declaration among the followings: </w:t>
                      </w:r>
                    </w:p>
                    <w:p w14:paraId="0EABFE5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only</w:t>
                      </w:r>
                    </w:p>
                    <w:p w14:paraId="77483912"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000000"/>
                          <w:kern w:val="24"/>
                          <w:sz w:val="18"/>
                          <w:szCs w:val="18"/>
                          <w:lang w:eastAsia="ja-JP"/>
                        </w:rPr>
                        <w:t>Using the downlink reference signals and uplink beam sweeping</w:t>
                      </w:r>
                    </w:p>
                    <w:p w14:paraId="28C26AF7"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Beam correspondence requirement for all UEs consists of three requirements as follows:</w:t>
                      </w:r>
                    </w:p>
                    <w:p w14:paraId="458E5049"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Req1: Minimum peak EIRP requirement</w:t>
                      </w:r>
                    </w:p>
                    <w:p w14:paraId="7FAAD017" w14:textId="77777777" w:rsidR="008B591E" w:rsidRPr="008B591E" w:rsidRDefault="008B591E" w:rsidP="00A11167">
                      <w:pPr>
                        <w:numPr>
                          <w:ilvl w:val="1"/>
                          <w:numId w:val="9"/>
                        </w:numPr>
                        <w:wordWrap w:val="0"/>
                        <w:ind w:left="709" w:hanging="283"/>
                        <w:contextualSpacing/>
                        <w:rPr>
                          <w:rFonts w:eastAsia="Times New Roman"/>
                          <w:sz w:val="18"/>
                          <w:szCs w:val="18"/>
                          <w:lang w:eastAsia="ja-JP"/>
                        </w:rPr>
                      </w:pPr>
                      <w:r w:rsidRPr="008B591E">
                        <w:rPr>
                          <w:rFonts w:ascii="Calibri" w:eastAsia="Malgun Gothic" w:hAnsi="Calibri" w:cs="Calibri"/>
                          <w:color w:val="FF0000"/>
                          <w:kern w:val="24"/>
                          <w:sz w:val="18"/>
                          <w:szCs w:val="18"/>
                          <w:lang w:eastAsia="ja-JP"/>
                        </w:rPr>
                        <w:t>Req2: Spherical coverage requirement</w:t>
                      </w:r>
                    </w:p>
                    <w:p w14:paraId="56FDFECF" w14:textId="77777777" w:rsidR="008B591E" w:rsidRPr="008B591E" w:rsidRDefault="008B591E" w:rsidP="00A11167">
                      <w:pPr>
                        <w:numPr>
                          <w:ilvl w:val="1"/>
                          <w:numId w:val="9"/>
                        </w:numPr>
                        <w:wordWrap w:val="0"/>
                        <w:ind w:left="709" w:hanging="283"/>
                        <w:contextualSpacing/>
                        <w:rPr>
                          <w:rFonts w:eastAsia="Times New Roman"/>
                          <w:szCs w:val="24"/>
                          <w:lang w:eastAsia="ja-JP"/>
                        </w:rPr>
                      </w:pPr>
                      <w:r w:rsidRPr="008B591E">
                        <w:rPr>
                          <w:rFonts w:ascii="Calibri" w:eastAsia="Malgun Gothic" w:hAnsi="Calibri" w:cs="Calibri"/>
                          <w:color w:val="FF0000"/>
                          <w:kern w:val="24"/>
                          <w:sz w:val="18"/>
                          <w:szCs w:val="18"/>
                          <w:lang w:eastAsia="ja-JP"/>
                        </w:rPr>
                        <w:t>Req3: Beam correspondence tolerance requirement</w:t>
                      </w:r>
                    </w:p>
                    <w:p w14:paraId="69254029"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The UE meeting Req1 and Req2 without the uplink beam sweeping is considered to have met Req3</w:t>
                      </w:r>
                    </w:p>
                    <w:p w14:paraId="551B537D" w14:textId="77777777" w:rsidR="008B591E" w:rsidRPr="008B591E" w:rsidRDefault="008B591E" w:rsidP="00A11167">
                      <w:pPr>
                        <w:numPr>
                          <w:ilvl w:val="0"/>
                          <w:numId w:val="9"/>
                        </w:numPr>
                        <w:wordWrap w:val="0"/>
                        <w:ind w:left="284" w:hanging="284"/>
                        <w:contextualSpacing/>
                        <w:rPr>
                          <w:rFonts w:eastAsia="Times New Roman"/>
                          <w:sz w:val="21"/>
                          <w:szCs w:val="24"/>
                          <w:lang w:eastAsia="ja-JP"/>
                        </w:rPr>
                      </w:pPr>
                      <w:r w:rsidRPr="008B591E">
                        <w:rPr>
                          <w:rFonts w:ascii="Calibri" w:eastAsia="Malgun Gothic" w:hAnsi="Calibri" w:cs="Calibri"/>
                          <w:color w:val="FF0000"/>
                          <w:kern w:val="24"/>
                          <w:sz w:val="21"/>
                          <w:szCs w:val="28"/>
                          <w:lang w:eastAsia="ja-JP"/>
                        </w:rPr>
                        <w:t xml:space="preserve">The UE meeting Req1 and Req2 with the uplink beam sweeping shall be tested against the beam correspondence tolerance requirement (i.e., Req3) in the next slide </w:t>
                      </w:r>
                    </w:p>
                    <w:p w14:paraId="01CEB620" w14:textId="77777777" w:rsidR="008B591E" w:rsidRPr="008B591E" w:rsidRDefault="008B591E" w:rsidP="008B591E">
                      <w:pPr>
                        <w:ind w:left="284" w:hanging="284"/>
                        <w:rPr>
                          <w:b/>
                          <w:bCs/>
                          <w:sz w:val="10"/>
                        </w:rPr>
                      </w:pPr>
                    </w:p>
                  </w:txbxContent>
                </v:textbox>
                <w10:anchorlock/>
              </v:shape>
            </w:pict>
          </mc:Fallback>
        </mc:AlternateContent>
      </w:r>
    </w:p>
    <w:p w14:paraId="655B22A2" w14:textId="7B7D1FFE" w:rsidR="00A81690" w:rsidRPr="00101A9A" w:rsidRDefault="008B591E" w:rsidP="008661CA">
      <w:pPr>
        <w:pStyle w:val="BodyText"/>
      </w:pPr>
      <w:r w:rsidRPr="00101A9A">
        <w:rPr>
          <w:noProof/>
          <w:lang w:eastAsia="ja-JP"/>
        </w:rPr>
        <w:lastRenderedPageBreak/>
        <mc:AlternateContent>
          <mc:Choice Requires="wps">
            <w:drawing>
              <wp:inline distT="0" distB="0" distL="0" distR="0" wp14:anchorId="1BC13C8F" wp14:editId="4E8C4120">
                <wp:extent cx="6264275" cy="3994785"/>
                <wp:effectExtent l="0" t="0" r="22225" b="2476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3994785"/>
                        </a:xfrm>
                        <a:prstGeom prst="rect">
                          <a:avLst/>
                        </a:prstGeom>
                        <a:solidFill>
                          <a:srgbClr val="FFFFFF"/>
                        </a:solidFill>
                        <a:ln w="9525">
                          <a:solidFill>
                            <a:srgbClr val="000000"/>
                          </a:solidFill>
                          <a:miter lim="800000"/>
                          <a:headEnd/>
                          <a:tailEnd/>
                        </a:ln>
                      </wps:spPr>
                      <wps:txbx>
                        <w:txbxContent>
                          <w:p w14:paraId="1E43AA28" w14:textId="363DCAD3"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Beam correspondence tolerance requirements</w:t>
                            </w:r>
                          </w:p>
                          <w:p w14:paraId="3CE0FEB1" w14:textId="1464CB69" w:rsidR="00762D28" w:rsidRPr="00762D28" w:rsidRDefault="00762D28" w:rsidP="00A11167">
                            <w:pPr>
                              <w:pStyle w:val="ListParagraph"/>
                              <w:numPr>
                                <w:ilvl w:val="0"/>
                                <w:numId w:val="10"/>
                              </w:numPr>
                              <w:tabs>
                                <w:tab w:val="clear" w:pos="720"/>
                              </w:tabs>
                              <w:overflowPunct/>
                              <w:autoSpaceDE/>
                              <w:autoSpaceDN/>
                              <w:adjustRightInd/>
                              <w:spacing w:after="0"/>
                              <w:ind w:left="284" w:hanging="284"/>
                              <w:textAlignment w:val="auto"/>
                              <w:rPr>
                                <w:sz w:val="21"/>
                                <w:szCs w:val="21"/>
                                <w:lang w:eastAsia="ja-JP"/>
                              </w:rPr>
                            </w:pPr>
                            <w:r w:rsidRPr="00762D28">
                              <w:rPr>
                                <w:rFonts w:ascii="Calibri" w:eastAsia="Malgun Gothic" w:hAnsi="Calibri" w:cs="Calibri"/>
                                <w:color w:val="000000"/>
                                <w:kern w:val="24"/>
                                <w:sz w:val="21"/>
                                <w:szCs w:val="21"/>
                                <w:lang w:eastAsia="ja-JP"/>
                              </w:rPr>
                              <w:t xml:space="preserve">RAN4 should specify the procedure and a single tolerance level for beam correspondence by RAN#84 as follows </w:t>
                            </w:r>
                          </w:p>
                          <w:p w14:paraId="1E97AF82" w14:textId="77777777" w:rsidR="00762D28" w:rsidRPr="00762D28" w:rsidRDefault="00762D28" w:rsidP="00A11167">
                            <w:pPr>
                              <w:numPr>
                                <w:ilvl w:val="1"/>
                                <w:numId w:val="10"/>
                              </w:numPr>
                              <w:ind w:left="851" w:hanging="425"/>
                              <w:contextualSpacing/>
                              <w:rPr>
                                <w:rFonts w:eastAsia="Times New Roman"/>
                                <w:lang w:eastAsia="ja-JP"/>
                              </w:rPr>
                            </w:pPr>
                            <w:r w:rsidRPr="00762D28">
                              <w:rPr>
                                <w:rFonts w:ascii="Calibri" w:eastAsia="Malgun Gothic" w:hAnsi="Calibri" w:cs="Calibri"/>
                                <w:color w:val="000000"/>
                                <w:kern w:val="24"/>
                                <w:lang w:eastAsia="ja-JP"/>
                              </w:rPr>
                              <w:t>For each of the test points in the grid, two EIRP should be calculated.</w:t>
                            </w:r>
                          </w:p>
                          <w:p w14:paraId="3C34D496"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 xml:space="preserve">EIRP1 is calculated based on the beam the UE chooses autonomously (corresponding beam) to transmit in the direction of the incoming DL signal. Procedure is based on what is described in </w:t>
                            </w:r>
                            <w:proofErr w:type="gramStart"/>
                            <w:r w:rsidRPr="00762D28">
                              <w:rPr>
                                <w:rFonts w:ascii="Calibri" w:eastAsia="Malgun Gothic" w:hAnsi="Calibri" w:cs="Calibri"/>
                                <w:color w:val="000000"/>
                                <w:kern w:val="24"/>
                                <w:sz w:val="18"/>
                                <w:szCs w:val="18"/>
                                <w:lang w:eastAsia="ja-JP"/>
                              </w:rPr>
                              <w:t>section  5.2.1.3.7</w:t>
                            </w:r>
                            <w:proofErr w:type="gramEnd"/>
                            <w:r w:rsidRPr="00762D28">
                              <w:rPr>
                                <w:rFonts w:ascii="Calibri" w:eastAsia="Malgun Gothic" w:hAnsi="Calibri" w:cs="Calibri"/>
                                <w:color w:val="000000"/>
                                <w:kern w:val="24"/>
                                <w:sz w:val="18"/>
                                <w:szCs w:val="18"/>
                                <w:lang w:eastAsia="ja-JP"/>
                              </w:rPr>
                              <w:t xml:space="preserve"> of TR38.810 (R4-1816258)</w:t>
                            </w:r>
                          </w:p>
                          <w:p w14:paraId="51CC4779"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FF0000"/>
                                <w:kern w:val="24"/>
                                <w:sz w:val="16"/>
                                <w:szCs w:val="16"/>
                                <w:lang w:eastAsia="ja-JP"/>
                              </w:rPr>
                              <w:t>No uplink beam sweeping is assumed</w:t>
                            </w:r>
                          </w:p>
                          <w:p w14:paraId="24DEC3A7"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EIRP2 is the best EIRP (beam yielding highest EIRP in a given direction) which is based on UL beam sweeping or TE scan</w:t>
                            </w:r>
                          </w:p>
                          <w:p w14:paraId="11049737"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000000"/>
                                <w:kern w:val="24"/>
                                <w:sz w:val="16"/>
                                <w:szCs w:val="16"/>
                                <w:lang w:eastAsia="ja-JP"/>
                              </w:rPr>
                              <w:t>RAN4 should specify the procedure how the best EIRP is defined and derived</w:t>
                            </w:r>
                          </w:p>
                          <w:p w14:paraId="7829DFA2"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Delta EIRP = EIRP2-EIRP1</w:t>
                            </w:r>
                          </w:p>
                          <w:p w14:paraId="79755511"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The test grid points where beam correspondence is verified are the grid points where the UE meets the spherical coverage requirements as specified in 6.2.1.3 of TS38.101-2</w:t>
                            </w:r>
                          </w:p>
                          <w:p w14:paraId="254D59E6"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Delta EIRP CDF is obtained from the Cumulative Distribution Function (CDF) computed using Delta EIRP from all test points.</w:t>
                            </w:r>
                          </w:p>
                          <w:p w14:paraId="237E959D" w14:textId="77777777" w:rsidR="00762D28" w:rsidRPr="00762D28" w:rsidRDefault="00762D28" w:rsidP="00A11167">
                            <w:pPr>
                              <w:numPr>
                                <w:ilvl w:val="2"/>
                                <w:numId w:val="10"/>
                              </w:numPr>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For power class 3 UEs which support beam correspondence in single FR2 band, the requirement is fulfilled if the UE’s corresponding UL beams satisfy the following conditions</w:t>
                            </w:r>
                          </w:p>
                          <w:p w14:paraId="4A3E5F55" w14:textId="77777777" w:rsidR="00762D28" w:rsidRPr="00762D28" w:rsidRDefault="00762D28" w:rsidP="00A11167">
                            <w:pPr>
                              <w:numPr>
                                <w:ilvl w:val="3"/>
                                <w:numId w:val="10"/>
                              </w:numPr>
                              <w:tabs>
                                <w:tab w:val="clear" w:pos="2880"/>
                              </w:tabs>
                              <w:ind w:left="1418" w:firstLine="283"/>
                              <w:contextualSpacing/>
                              <w:rPr>
                                <w:rFonts w:ascii="Calibri" w:eastAsia="Malgun Gothic" w:hAnsi="Calibri" w:cs="Calibri"/>
                                <w:color w:val="000000"/>
                                <w:kern w:val="24"/>
                                <w:sz w:val="16"/>
                                <w:szCs w:val="16"/>
                                <w:lang w:eastAsia="ja-JP"/>
                              </w:rPr>
                            </w:pPr>
                            <w:r w:rsidRPr="00762D28">
                              <w:rPr>
                                <w:rFonts w:ascii="Calibri" w:eastAsia="Malgun Gothic" w:hAnsi="Calibri" w:cs="Calibri"/>
                                <w:color w:val="000000"/>
                                <w:kern w:val="24"/>
                                <w:sz w:val="16"/>
                                <w:szCs w:val="16"/>
                                <w:lang w:eastAsia="ja-JP"/>
                              </w:rPr>
                              <w:t>[X]-percentile of delta EIRP CDF is no more than [Y] dB</w:t>
                            </w:r>
                          </w:p>
                          <w:p w14:paraId="2B4E1DA9" w14:textId="77777777" w:rsidR="00CF26D6"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 xml:space="preserve">RAN4 to choose </w:t>
                            </w:r>
                            <w:r w:rsidR="00CF26D6">
                              <w:rPr>
                                <w:rFonts w:ascii="Calibri" w:eastAsia="Malgun Gothic" w:hAnsi="Calibri" w:cs="Calibri"/>
                                <w:color w:val="000000"/>
                                <w:kern w:val="24"/>
                                <w:sz w:val="18"/>
                                <w:szCs w:val="18"/>
                                <w:lang w:eastAsia="ja-JP"/>
                              </w:rPr>
                              <w:t>X between 80 and 100 by RAN#83</w:t>
                            </w:r>
                          </w:p>
                          <w:p w14:paraId="781E3626" w14:textId="6ED4B854" w:rsidR="00762D28" w:rsidRPr="00762D28"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RAN4 to choose Y by RAN#84</w:t>
                            </w:r>
                          </w:p>
                          <w:p w14:paraId="3A105780"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presence of both SSB and CSI-RS signals is assumed and Type D QCL is maintained between SSB and CSI-RS.</w:t>
                            </w:r>
                          </w:p>
                          <w:p w14:paraId="798EE407" w14:textId="1FF9A18B" w:rsidR="008B591E" w:rsidRPr="008B591E"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CF26D6">
                              <w:rPr>
                                <w:rFonts w:ascii="Calibri" w:eastAsia="Malgun Gothic" w:hAnsi="Calibri" w:cs="Calibri"/>
                                <w:color w:val="000000"/>
                                <w:kern w:val="24"/>
                                <w:sz w:val="18"/>
                                <w:szCs w:val="18"/>
                                <w:lang w:eastAsia="ja-JP"/>
                              </w:rPr>
                              <w:t>The presence of both SSB and CSI-RS signals is defined in either RAN4 or RAN5 specs.</w:t>
                            </w:r>
                          </w:p>
                          <w:p w14:paraId="79CEC76B" w14:textId="77777777" w:rsidR="008B591E" w:rsidRPr="008B591E" w:rsidRDefault="008B591E" w:rsidP="008B591E">
                            <w:pPr>
                              <w:ind w:left="284" w:hanging="284"/>
                              <w:rPr>
                                <w:b/>
                                <w:bCs/>
                                <w:sz w:val="10"/>
                              </w:rPr>
                            </w:pPr>
                          </w:p>
                        </w:txbxContent>
                      </wps:txbx>
                      <wps:bodyPr rot="0" vert="horz" wrap="square" lIns="91440" tIns="45720" rIns="91440" bIns="45720" anchor="t" anchorCtr="0">
                        <a:spAutoFit/>
                      </wps:bodyPr>
                    </wps:wsp>
                  </a:graphicData>
                </a:graphic>
              </wp:inline>
            </w:drawing>
          </mc:Choice>
          <mc:Fallback>
            <w:pict>
              <v:shape w14:anchorId="1BC13C8F" id="Text Box 3" o:spid="_x0000_s1027" type="#_x0000_t202" style="width:493.25pt;height:3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">
                <v:textbox style="mso-fit-shape-to-text:t">
                  <w:txbxContent>
                    <w:p w14:paraId="1E43AA28" w14:textId="363DCAD3" w:rsidR="007D1AF7" w:rsidRPr="007D1AF7" w:rsidRDefault="007D1AF7" w:rsidP="007D1AF7">
                      <w:pPr>
                        <w:jc w:val="center"/>
                        <w:rPr>
                          <w:rFonts w:ascii="Calibri" w:eastAsia="Malgun Gothic" w:hAnsi="Calibri" w:cs="Calibri"/>
                          <w:color w:val="000000"/>
                          <w:kern w:val="24"/>
                          <w:sz w:val="56"/>
                          <w:szCs w:val="56"/>
                          <w:lang w:eastAsia="ja-JP"/>
                        </w:rPr>
                      </w:pPr>
                      <w:r w:rsidRPr="007D1AF7">
                        <w:rPr>
                          <w:rFonts w:ascii="Calibri" w:eastAsia="Malgun Gothic" w:hAnsi="Calibri" w:cs="Calibri"/>
                          <w:color w:val="000000"/>
                          <w:kern w:val="24"/>
                          <w:sz w:val="56"/>
                          <w:szCs w:val="56"/>
                          <w:lang w:eastAsia="ja-JP"/>
                        </w:rPr>
                        <w:t>Beam correspondence tolerance requirements</w:t>
                      </w:r>
                    </w:p>
                    <w:p w14:paraId="3CE0FEB1" w14:textId="1464CB69" w:rsidR="00762D28" w:rsidRPr="00762D28" w:rsidRDefault="00762D28" w:rsidP="00A11167">
                      <w:pPr>
                        <w:pStyle w:val="ListParagraph"/>
                        <w:numPr>
                          <w:ilvl w:val="0"/>
                          <w:numId w:val="10"/>
                        </w:numPr>
                        <w:tabs>
                          <w:tab w:val="clear" w:pos="720"/>
                        </w:tabs>
                        <w:overflowPunct/>
                        <w:autoSpaceDE/>
                        <w:autoSpaceDN/>
                        <w:adjustRightInd/>
                        <w:spacing w:after="0"/>
                        <w:ind w:left="284" w:hanging="284"/>
                        <w:textAlignment w:val="auto"/>
                        <w:rPr>
                          <w:sz w:val="21"/>
                          <w:szCs w:val="21"/>
                          <w:lang w:eastAsia="ja-JP"/>
                        </w:rPr>
                      </w:pPr>
                      <w:r w:rsidRPr="00762D28">
                        <w:rPr>
                          <w:rFonts w:ascii="Calibri" w:eastAsia="Malgun Gothic" w:hAnsi="Calibri" w:cs="Calibri"/>
                          <w:color w:val="000000"/>
                          <w:kern w:val="24"/>
                          <w:sz w:val="21"/>
                          <w:szCs w:val="21"/>
                          <w:lang w:eastAsia="ja-JP"/>
                        </w:rPr>
                        <w:t xml:space="preserve">RAN4 should specify the procedure and a single tolerance level for beam correspondence by RAN#84 as follows </w:t>
                      </w:r>
                    </w:p>
                    <w:p w14:paraId="1E97AF82" w14:textId="77777777" w:rsidR="00762D28" w:rsidRPr="00762D28" w:rsidRDefault="00762D28" w:rsidP="00A11167">
                      <w:pPr>
                        <w:numPr>
                          <w:ilvl w:val="1"/>
                          <w:numId w:val="10"/>
                        </w:numPr>
                        <w:ind w:left="851" w:hanging="425"/>
                        <w:contextualSpacing/>
                        <w:rPr>
                          <w:rFonts w:eastAsia="Times New Roman"/>
                          <w:lang w:eastAsia="ja-JP"/>
                        </w:rPr>
                      </w:pPr>
                      <w:r w:rsidRPr="00762D28">
                        <w:rPr>
                          <w:rFonts w:ascii="Calibri" w:eastAsia="Malgun Gothic" w:hAnsi="Calibri" w:cs="Calibri"/>
                          <w:color w:val="000000"/>
                          <w:kern w:val="24"/>
                          <w:lang w:eastAsia="ja-JP"/>
                        </w:rPr>
                        <w:t>For each of the test points in the grid, two EIRP should be calculated.</w:t>
                      </w:r>
                    </w:p>
                    <w:p w14:paraId="3C34D496"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 xml:space="preserve">EIRP1 is calculated based on the beam the UE chooses autonomously (corresponding beam) to transmit in the direction of the incoming DL signal. Procedure is based on what is described in </w:t>
                      </w:r>
                      <w:proofErr w:type="gramStart"/>
                      <w:r w:rsidRPr="00762D28">
                        <w:rPr>
                          <w:rFonts w:ascii="Calibri" w:eastAsia="Malgun Gothic" w:hAnsi="Calibri" w:cs="Calibri"/>
                          <w:color w:val="000000"/>
                          <w:kern w:val="24"/>
                          <w:sz w:val="18"/>
                          <w:szCs w:val="18"/>
                          <w:lang w:eastAsia="ja-JP"/>
                        </w:rPr>
                        <w:t>section  5.2.1.3.7</w:t>
                      </w:r>
                      <w:proofErr w:type="gramEnd"/>
                      <w:r w:rsidRPr="00762D28">
                        <w:rPr>
                          <w:rFonts w:ascii="Calibri" w:eastAsia="Malgun Gothic" w:hAnsi="Calibri" w:cs="Calibri"/>
                          <w:color w:val="000000"/>
                          <w:kern w:val="24"/>
                          <w:sz w:val="18"/>
                          <w:szCs w:val="18"/>
                          <w:lang w:eastAsia="ja-JP"/>
                        </w:rPr>
                        <w:t xml:space="preserve"> of TR38.810 (R4-1816258)</w:t>
                      </w:r>
                    </w:p>
                    <w:p w14:paraId="51CC4779"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FF0000"/>
                          <w:kern w:val="24"/>
                          <w:sz w:val="16"/>
                          <w:szCs w:val="16"/>
                          <w:lang w:eastAsia="ja-JP"/>
                        </w:rPr>
                        <w:t>No uplink beam sweeping is assumed</w:t>
                      </w:r>
                    </w:p>
                    <w:p w14:paraId="24DEC3A7"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EIRP2 is the best EIRP (beam yielding highest EIRP in a given direction) which is based on UL beam sweeping or TE scan</w:t>
                      </w:r>
                    </w:p>
                    <w:p w14:paraId="11049737" w14:textId="77777777" w:rsidR="00762D28" w:rsidRPr="00762D28" w:rsidRDefault="00762D28" w:rsidP="00A11167">
                      <w:pPr>
                        <w:numPr>
                          <w:ilvl w:val="3"/>
                          <w:numId w:val="10"/>
                        </w:numPr>
                        <w:tabs>
                          <w:tab w:val="clear" w:pos="2880"/>
                        </w:tabs>
                        <w:ind w:left="1418" w:firstLine="283"/>
                        <w:contextualSpacing/>
                        <w:rPr>
                          <w:rFonts w:eastAsia="Times New Roman"/>
                          <w:sz w:val="16"/>
                          <w:szCs w:val="16"/>
                          <w:lang w:eastAsia="ja-JP"/>
                        </w:rPr>
                      </w:pPr>
                      <w:r w:rsidRPr="00762D28">
                        <w:rPr>
                          <w:rFonts w:ascii="Calibri" w:eastAsia="Malgun Gothic" w:hAnsi="Calibri" w:cs="Calibri"/>
                          <w:color w:val="000000"/>
                          <w:kern w:val="24"/>
                          <w:sz w:val="16"/>
                          <w:szCs w:val="16"/>
                          <w:lang w:eastAsia="ja-JP"/>
                        </w:rPr>
                        <w:t>RAN4 should specify the procedure how the best EIRP is defined and derived</w:t>
                      </w:r>
                    </w:p>
                    <w:p w14:paraId="7829DFA2"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Delta EIRP = EIRP2-EIRP1</w:t>
                      </w:r>
                    </w:p>
                    <w:p w14:paraId="79755511" w14:textId="77777777" w:rsidR="00762D28" w:rsidRPr="00762D28" w:rsidRDefault="00762D28" w:rsidP="00A11167">
                      <w:pPr>
                        <w:numPr>
                          <w:ilvl w:val="2"/>
                          <w:numId w:val="10"/>
                        </w:numPr>
                        <w:ind w:left="1418" w:hanging="425"/>
                        <w:contextualSpacing/>
                        <w:rPr>
                          <w:rFonts w:eastAsia="Times New Roman"/>
                          <w:sz w:val="18"/>
                          <w:szCs w:val="18"/>
                          <w:lang w:eastAsia="ja-JP"/>
                        </w:rPr>
                      </w:pPr>
                      <w:r w:rsidRPr="00762D28">
                        <w:rPr>
                          <w:rFonts w:ascii="Calibri" w:eastAsia="Malgun Gothic" w:hAnsi="Calibri" w:cs="Calibri"/>
                          <w:color w:val="000000"/>
                          <w:kern w:val="24"/>
                          <w:sz w:val="18"/>
                          <w:szCs w:val="18"/>
                          <w:lang w:eastAsia="ja-JP"/>
                        </w:rPr>
                        <w:t>The test grid points where beam correspondence is verified are the grid points where the UE meets the spherical coverage requirements as specified in 6.2.1.3 of TS38.101-2</w:t>
                      </w:r>
                    </w:p>
                    <w:p w14:paraId="254D59E6"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Delta EIRP CDF is obtained from the Cumulative Distribution Function (CDF) computed using Delta EIRP from all test points.</w:t>
                      </w:r>
                    </w:p>
                    <w:p w14:paraId="237E959D" w14:textId="77777777" w:rsidR="00762D28" w:rsidRPr="00762D28" w:rsidRDefault="00762D28" w:rsidP="00A11167">
                      <w:pPr>
                        <w:numPr>
                          <w:ilvl w:val="2"/>
                          <w:numId w:val="10"/>
                        </w:numPr>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For power class 3 UEs which support beam correspondence in single FR2 band, the requirement is fulfilled if the UE’s corresponding UL beams satisfy the following conditions</w:t>
                      </w:r>
                    </w:p>
                    <w:p w14:paraId="4A3E5F55" w14:textId="77777777" w:rsidR="00762D28" w:rsidRPr="00762D28" w:rsidRDefault="00762D28" w:rsidP="00A11167">
                      <w:pPr>
                        <w:numPr>
                          <w:ilvl w:val="3"/>
                          <w:numId w:val="10"/>
                        </w:numPr>
                        <w:tabs>
                          <w:tab w:val="clear" w:pos="2880"/>
                        </w:tabs>
                        <w:ind w:left="1418" w:firstLine="283"/>
                        <w:contextualSpacing/>
                        <w:rPr>
                          <w:rFonts w:ascii="Calibri" w:eastAsia="Malgun Gothic" w:hAnsi="Calibri" w:cs="Calibri"/>
                          <w:color w:val="000000"/>
                          <w:kern w:val="24"/>
                          <w:sz w:val="16"/>
                          <w:szCs w:val="16"/>
                          <w:lang w:eastAsia="ja-JP"/>
                        </w:rPr>
                      </w:pPr>
                      <w:r w:rsidRPr="00762D28">
                        <w:rPr>
                          <w:rFonts w:ascii="Calibri" w:eastAsia="Malgun Gothic" w:hAnsi="Calibri" w:cs="Calibri"/>
                          <w:color w:val="000000"/>
                          <w:kern w:val="24"/>
                          <w:sz w:val="16"/>
                          <w:szCs w:val="16"/>
                          <w:lang w:eastAsia="ja-JP"/>
                        </w:rPr>
                        <w:t>[X]-percentile of delta EIRP CDF is no more than [Y] dB</w:t>
                      </w:r>
                    </w:p>
                    <w:p w14:paraId="2B4E1DA9" w14:textId="77777777" w:rsidR="00CF26D6"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 xml:space="preserve">RAN4 to choose </w:t>
                      </w:r>
                      <w:r w:rsidR="00CF26D6">
                        <w:rPr>
                          <w:rFonts w:ascii="Calibri" w:eastAsia="Malgun Gothic" w:hAnsi="Calibri" w:cs="Calibri"/>
                          <w:color w:val="000000"/>
                          <w:kern w:val="24"/>
                          <w:sz w:val="18"/>
                          <w:szCs w:val="18"/>
                          <w:lang w:eastAsia="ja-JP"/>
                        </w:rPr>
                        <w:t>X between 80 and 100 by RAN#83</w:t>
                      </w:r>
                    </w:p>
                    <w:p w14:paraId="781E3626" w14:textId="6ED4B854" w:rsidR="00762D28" w:rsidRPr="00762D28"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762D28">
                        <w:rPr>
                          <w:rFonts w:ascii="Calibri" w:eastAsia="Malgun Gothic" w:hAnsi="Calibri" w:cs="Calibri"/>
                          <w:color w:val="000000"/>
                          <w:kern w:val="24"/>
                          <w:sz w:val="18"/>
                          <w:szCs w:val="18"/>
                          <w:lang w:eastAsia="ja-JP"/>
                        </w:rPr>
                        <w:t>RAN4 to choose Y by RAN#84</w:t>
                      </w:r>
                    </w:p>
                    <w:p w14:paraId="3A105780" w14:textId="77777777" w:rsidR="00762D28" w:rsidRPr="00762D28" w:rsidRDefault="00762D28" w:rsidP="00A11167">
                      <w:pPr>
                        <w:numPr>
                          <w:ilvl w:val="1"/>
                          <w:numId w:val="10"/>
                        </w:numPr>
                        <w:ind w:left="851" w:hanging="425"/>
                        <w:contextualSpacing/>
                        <w:rPr>
                          <w:rFonts w:ascii="Calibri" w:eastAsia="Malgun Gothic" w:hAnsi="Calibri" w:cs="Calibri"/>
                          <w:color w:val="000000"/>
                          <w:kern w:val="24"/>
                          <w:lang w:eastAsia="ja-JP"/>
                        </w:rPr>
                      </w:pPr>
                      <w:r w:rsidRPr="00762D28">
                        <w:rPr>
                          <w:rFonts w:ascii="Calibri" w:eastAsia="Malgun Gothic" w:hAnsi="Calibri" w:cs="Calibri"/>
                          <w:color w:val="000000"/>
                          <w:kern w:val="24"/>
                          <w:lang w:eastAsia="ja-JP"/>
                        </w:rPr>
                        <w:t>The presence of both SSB and CSI-RS signals is assumed and Type D QCL is maintained between SSB and CSI-RS.</w:t>
                      </w:r>
                    </w:p>
                    <w:p w14:paraId="798EE407" w14:textId="1FF9A18B" w:rsidR="008B591E" w:rsidRPr="008B591E" w:rsidRDefault="00762D28" w:rsidP="00A11167">
                      <w:pPr>
                        <w:numPr>
                          <w:ilvl w:val="2"/>
                          <w:numId w:val="10"/>
                        </w:numPr>
                        <w:tabs>
                          <w:tab w:val="num" w:pos="720"/>
                        </w:tabs>
                        <w:ind w:left="1418" w:hanging="425"/>
                        <w:contextualSpacing/>
                        <w:rPr>
                          <w:rFonts w:ascii="Calibri" w:eastAsia="Malgun Gothic" w:hAnsi="Calibri" w:cs="Calibri"/>
                          <w:color w:val="000000"/>
                          <w:kern w:val="24"/>
                          <w:sz w:val="18"/>
                          <w:szCs w:val="18"/>
                          <w:lang w:eastAsia="ja-JP"/>
                        </w:rPr>
                      </w:pPr>
                      <w:r w:rsidRPr="00CF26D6">
                        <w:rPr>
                          <w:rFonts w:ascii="Calibri" w:eastAsia="Malgun Gothic" w:hAnsi="Calibri" w:cs="Calibri"/>
                          <w:color w:val="000000"/>
                          <w:kern w:val="24"/>
                          <w:sz w:val="18"/>
                          <w:szCs w:val="18"/>
                          <w:lang w:eastAsia="ja-JP"/>
                        </w:rPr>
                        <w:t>The presence of both SSB and CSI-RS signals is defined in either RAN4 or RAN5 specs.</w:t>
                      </w:r>
                    </w:p>
                    <w:p w14:paraId="79CEC76B" w14:textId="77777777" w:rsidR="008B591E" w:rsidRPr="008B591E" w:rsidRDefault="008B591E" w:rsidP="008B591E">
                      <w:pPr>
                        <w:ind w:left="284" w:hanging="284"/>
                        <w:rPr>
                          <w:b/>
                          <w:bCs/>
                          <w:sz w:val="10"/>
                        </w:rPr>
                      </w:pPr>
                    </w:p>
                  </w:txbxContent>
                </v:textbox>
                <w10:anchorlock/>
              </v:shape>
            </w:pict>
          </mc:Fallback>
        </mc:AlternateContent>
      </w:r>
      <w:r w:rsidR="00A81690" w:rsidRPr="00101A9A">
        <w:t xml:space="preserve"> </w:t>
      </w:r>
    </w:p>
    <w:p w14:paraId="0755A468" w14:textId="1658AB6B" w:rsidR="001B17CD" w:rsidRPr="00101A9A" w:rsidRDefault="00630946" w:rsidP="00D37087">
      <w:pPr>
        <w:pStyle w:val="Heading1"/>
        <w:keepLines/>
        <w:pBdr>
          <w:top w:val="single" w:sz="12" w:space="5" w:color="auto"/>
        </w:pBdr>
        <w:overflowPunct w:val="0"/>
        <w:autoSpaceDE w:val="0"/>
        <w:autoSpaceDN w:val="0"/>
        <w:adjustRightInd w:val="0"/>
        <w:spacing w:after="180"/>
        <w:ind w:right="0"/>
        <w:textAlignment w:val="baseline"/>
      </w:pPr>
      <w:bookmarkStart w:id="0" w:name="_Ref280221"/>
      <w:r w:rsidRPr="00101A9A">
        <w:t>Problem description</w:t>
      </w:r>
      <w:bookmarkEnd w:id="0"/>
    </w:p>
    <w:p w14:paraId="7D69A9B7" w14:textId="4E8F2580" w:rsidR="00630946" w:rsidRPr="00101A9A" w:rsidRDefault="008440E2" w:rsidP="00630946">
      <w:pPr>
        <w:pStyle w:val="BodyText"/>
      </w:pPr>
      <w:r w:rsidRPr="00101A9A">
        <w:t>There could be several reasons to why the UE is not able to estimate the UL beam based on DL measurements</w:t>
      </w:r>
      <w:r w:rsidR="00616134" w:rsidRPr="00101A9A">
        <w:t>. An obvious explanation would be</w:t>
      </w:r>
      <w:r w:rsidRPr="00101A9A">
        <w:t xml:space="preserve"> mismatch between pre-coders in the RX and TX paths respectively</w:t>
      </w:r>
      <w:r w:rsidR="007349DD" w:rsidRPr="00101A9A">
        <w:t xml:space="preserve">. </w:t>
      </w:r>
      <w:r w:rsidR="00616134" w:rsidRPr="00101A9A">
        <w:t>Another possible explanation could be</w:t>
      </w:r>
      <w:r w:rsidR="00630946" w:rsidRPr="00101A9A">
        <w:t xml:space="preserve"> </w:t>
      </w:r>
      <w:r w:rsidR="00616134" w:rsidRPr="00101A9A">
        <w:t xml:space="preserve">incorrect estimation on best DL beam, since the </w:t>
      </w:r>
      <w:r w:rsidR="00630946" w:rsidRPr="00101A9A">
        <w:t xml:space="preserve">ability for the UE to determine the correct beam direction </w:t>
      </w:r>
      <w:r w:rsidR="00616134" w:rsidRPr="00101A9A">
        <w:t xml:space="preserve">(DL) </w:t>
      </w:r>
      <w:r w:rsidR="00AA267D" w:rsidRPr="00101A9A">
        <w:t>will be</w:t>
      </w:r>
      <w:r w:rsidR="00630946" w:rsidRPr="00101A9A">
        <w:t xml:space="preserve"> based on the </w:t>
      </w:r>
      <w:r w:rsidR="00AA267D" w:rsidRPr="00101A9A">
        <w:t xml:space="preserve">quality of the </w:t>
      </w:r>
      <w:r w:rsidR="00630946" w:rsidRPr="00101A9A">
        <w:t xml:space="preserve">measurement of the </w:t>
      </w:r>
      <w:r w:rsidR="00616134" w:rsidRPr="00101A9A">
        <w:t>DL</w:t>
      </w:r>
      <w:r w:rsidR="00630946" w:rsidRPr="00101A9A">
        <w:t xml:space="preserve"> synchronization signal (SSB or CSI-RS). </w:t>
      </w:r>
    </w:p>
    <w:p w14:paraId="23368892" w14:textId="74B9F40D" w:rsidR="003B38F5" w:rsidRPr="00101A9A" w:rsidRDefault="003B38F5" w:rsidP="003B38F5">
      <w:pPr>
        <w:pStyle w:val="BodyText"/>
      </w:pPr>
      <w:r w:rsidRPr="00101A9A">
        <w:fldChar w:fldCharType="begin"/>
      </w:r>
      <w:r w:rsidRPr="00101A9A">
        <w:instrText xml:space="preserve"> REF _Ref536538092 \h </w:instrText>
      </w:r>
      <w:r w:rsidRPr="00101A9A">
        <w:fldChar w:fldCharType="separate"/>
      </w:r>
      <w:r w:rsidR="002362CF" w:rsidRPr="00101A9A">
        <w:t xml:space="preserve">Figure </w:t>
      </w:r>
      <w:r w:rsidR="002362CF">
        <w:rPr>
          <w:noProof/>
        </w:rPr>
        <w:t>1</w:t>
      </w:r>
      <w:r w:rsidRPr="00101A9A">
        <w:fldChar w:fldCharType="end"/>
      </w:r>
      <w:r w:rsidRPr="00101A9A">
        <w:t xml:space="preserve"> shows an example of an incorrect decision </w:t>
      </w:r>
      <w:r w:rsidR="00616134" w:rsidRPr="00101A9A">
        <w:t xml:space="preserve">of “best” beam, </w:t>
      </w:r>
      <w:r w:rsidRPr="00101A9A">
        <w:t xml:space="preserve">made by the UE. In this example the measurement is associated with an error which may be a consequence of e.g. added noise or interference. In </w:t>
      </w:r>
      <w:r w:rsidR="002362CF">
        <w:fldChar w:fldCharType="begin"/>
      </w:r>
      <w:r w:rsidR="002362CF">
        <w:instrText xml:space="preserve"> REF _Ref536538092 \h </w:instrText>
      </w:r>
      <w:r w:rsidR="002362CF">
        <w:fldChar w:fldCharType="separate"/>
      </w:r>
      <w:r w:rsidR="002362CF" w:rsidRPr="00101A9A">
        <w:t xml:space="preserve">Figure </w:t>
      </w:r>
      <w:r w:rsidR="002362CF">
        <w:rPr>
          <w:noProof/>
        </w:rPr>
        <w:t>1</w:t>
      </w:r>
      <w:r w:rsidR="002362CF">
        <w:fldChar w:fldCharType="end"/>
      </w:r>
      <w:r w:rsidR="002362CF">
        <w:t xml:space="preserve"> </w:t>
      </w:r>
      <w:r w:rsidRPr="00101A9A">
        <w:t>the “</w:t>
      </w:r>
      <w:r w:rsidRPr="00101A9A">
        <w:rPr>
          <w:rFonts w:asciiTheme="minorHAnsi" w:hAnsiTheme="minorHAnsi"/>
        </w:rPr>
        <w:t>x</w:t>
      </w:r>
      <w:r w:rsidRPr="00101A9A">
        <w:t xml:space="preserve">” </w:t>
      </w:r>
      <w:r w:rsidR="009E5484" w:rsidRPr="00101A9A">
        <w:t>represents</w:t>
      </w:r>
      <w:r w:rsidRPr="00101A9A">
        <w:t xml:space="preserve"> the correct measurement assuming no noise or interference. The “</w:t>
      </w:r>
      <w:r w:rsidRPr="00101A9A">
        <w:rPr>
          <w:rFonts w:asciiTheme="minorHAnsi" w:hAnsiTheme="minorHAnsi"/>
        </w:rPr>
        <w:sym w:font="Symbol" w:char="F044"/>
      </w:r>
      <w:r w:rsidRPr="00101A9A">
        <w:t xml:space="preserve">” represents the value determined by the UE including noise </w:t>
      </w:r>
      <w:r w:rsidR="00616134" w:rsidRPr="00101A9A">
        <w:t>and/</w:t>
      </w:r>
      <w:r w:rsidRPr="00101A9A">
        <w:t>or interference. The best beam, in this example, is the red beam but due to the added noise in the measurement, the measurement of the green beam determines the highest value. Consequently, the UE fail to choose the best beam.</w:t>
      </w:r>
    </w:p>
    <w:p w14:paraId="59A0DCC5" w14:textId="6B360C19" w:rsidR="00630946" w:rsidRPr="00101A9A" w:rsidRDefault="00630946" w:rsidP="00630946">
      <w:pPr>
        <w:pStyle w:val="BodyText"/>
      </w:pPr>
      <w:r w:rsidRPr="00101A9A">
        <w:t xml:space="preserve">According to TS 38.2144: “For the purpose of SS-RSRP, SS-RSRQ and SS-SINR measurements, the UE may assume downlink EPRE is constant across the bandwidth. </w:t>
      </w:r>
      <w:proofErr w:type="gramStart"/>
      <w:r w:rsidRPr="00101A9A">
        <w:t>For the purpose of</w:t>
      </w:r>
      <w:proofErr w:type="gramEnd"/>
      <w:r w:rsidRPr="00101A9A">
        <w:t xml:space="preserve"> SS-RSRP, SS-RSRQ and SS-SINR measurements, the UE may assume downlink EPRE is constant over SSS carried in different SS/PBCH blocks”. There is thus no reason for the UE to assume different Energy per Resource Element (EPRE) and thus, ideally and without any noise or interference the UE should be able to correctly determine the strongest UE beam and thus correctly determine the correct spatial filter (i.e. beam) to be used for the subsequent communication.</w:t>
      </w:r>
    </w:p>
    <w:p w14:paraId="6B881C2A" w14:textId="53B385EA" w:rsidR="0041654E" w:rsidRPr="00101A9A" w:rsidRDefault="00D666DF" w:rsidP="00630946">
      <w:pPr>
        <w:pStyle w:val="BodyText"/>
      </w:pPr>
      <w:r w:rsidRPr="00101A9A">
        <w:rPr>
          <w:noProof/>
          <w:lang w:eastAsia="ja-JP"/>
        </w:rPr>
        <w:lastRenderedPageBreak/>
        <w:drawing>
          <wp:inline distT="0" distB="0" distL="0" distR="0" wp14:anchorId="575F8B79" wp14:editId="4FECDBCA">
            <wp:extent cx="6220621" cy="178117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1104"/>
                    <a:stretch/>
                  </pic:blipFill>
                  <pic:spPr bwMode="auto">
                    <a:xfrm>
                      <a:off x="0" y="0"/>
                      <a:ext cx="6257649" cy="1791781"/>
                    </a:xfrm>
                    <a:prstGeom prst="rect">
                      <a:avLst/>
                    </a:prstGeom>
                    <a:noFill/>
                    <a:ln>
                      <a:noFill/>
                    </a:ln>
                    <a:extLst>
                      <a:ext uri="{53640926-AAD7-44D8-BBD7-CCE9431645EC}">
                        <a14:shadowObscured xmlns:a14="http://schemas.microsoft.com/office/drawing/2010/main"/>
                      </a:ext>
                    </a:extLst>
                  </pic:spPr>
                </pic:pic>
              </a:graphicData>
            </a:graphic>
          </wp:inline>
        </w:drawing>
      </w:r>
    </w:p>
    <w:p w14:paraId="3230695D" w14:textId="6FBB40BD" w:rsidR="007C7704" w:rsidRPr="00101A9A" w:rsidRDefault="007C7704" w:rsidP="007C7704">
      <w:pPr>
        <w:pStyle w:val="Caption"/>
        <w:jc w:val="center"/>
      </w:pPr>
      <w:bookmarkStart w:id="1" w:name="_Ref536538092"/>
      <w:r w:rsidRPr="00101A9A">
        <w:t xml:space="preserve">Figure </w:t>
      </w:r>
      <w:r w:rsidRPr="00101A9A">
        <w:fldChar w:fldCharType="begin"/>
      </w:r>
      <w:r w:rsidRPr="00101A9A">
        <w:instrText xml:space="preserve"> SEQ Figure \* ARABIC </w:instrText>
      </w:r>
      <w:r w:rsidRPr="00101A9A">
        <w:fldChar w:fldCharType="separate"/>
      </w:r>
      <w:r w:rsidR="002362CF">
        <w:rPr>
          <w:noProof/>
        </w:rPr>
        <w:t>1</w:t>
      </w:r>
      <w:r w:rsidRPr="00101A9A">
        <w:fldChar w:fldCharType="end"/>
      </w:r>
      <w:bookmarkEnd w:id="1"/>
      <w:r w:rsidRPr="00101A9A">
        <w:t>. Illustration of an incorrect decision regarding beam direction made by the UE.</w:t>
      </w:r>
    </w:p>
    <w:p w14:paraId="0646EFD4" w14:textId="77777777" w:rsidR="007C7704" w:rsidRPr="00101A9A" w:rsidRDefault="007C7704" w:rsidP="0041654E">
      <w:pPr>
        <w:pStyle w:val="BodyText"/>
      </w:pPr>
    </w:p>
    <w:p w14:paraId="0C0FAA3A" w14:textId="4665370F" w:rsidR="00481C96" w:rsidRPr="00101A9A" w:rsidRDefault="00481C96" w:rsidP="00481C96">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2FF4336A" w14:textId="5CDC1D14" w:rsidR="00481C96" w:rsidRPr="00101A9A" w:rsidRDefault="00481C96" w:rsidP="00481C96">
      <w:pPr>
        <w:pStyle w:val="BodyText"/>
      </w:pPr>
      <w:r w:rsidRPr="00101A9A">
        <w:t xml:space="preserve">As discussed in section </w:t>
      </w:r>
      <w:r w:rsidRPr="00101A9A">
        <w:fldChar w:fldCharType="begin"/>
      </w:r>
      <w:r w:rsidRPr="00101A9A">
        <w:instrText xml:space="preserve"> REF _Ref280221 \r \h </w:instrText>
      </w:r>
      <w:r w:rsidRPr="00101A9A">
        <w:fldChar w:fldCharType="separate"/>
      </w:r>
      <w:r w:rsidR="002362CF">
        <w:t>2</w:t>
      </w:r>
      <w:r w:rsidRPr="00101A9A">
        <w:fldChar w:fldCharType="end"/>
      </w:r>
      <w:r w:rsidR="00155C8E" w:rsidRPr="00101A9A">
        <w:t>,</w:t>
      </w:r>
      <w:r w:rsidRPr="00101A9A">
        <w:t xml:space="preserve"> a </w:t>
      </w:r>
      <w:r w:rsidR="00155C8E" w:rsidRPr="00101A9A">
        <w:t>likely</w:t>
      </w:r>
      <w:r w:rsidRPr="00101A9A">
        <w:t xml:space="preserve"> reason for not fulfilling BC without UL beam sweeping is an incorrect estimation of the best DL beam. This </w:t>
      </w:r>
      <w:r w:rsidR="00155C8E" w:rsidRPr="00101A9A">
        <w:t xml:space="preserve">may likely </w:t>
      </w:r>
      <w:r w:rsidRPr="00101A9A">
        <w:t>be a consequence of poor SNR or poor SINR</w:t>
      </w:r>
    </w:p>
    <w:p w14:paraId="2FB78C6C" w14:textId="76DA6CAB" w:rsidR="00481C96" w:rsidRPr="00101A9A" w:rsidRDefault="00481C96" w:rsidP="00151D2A">
      <w:pPr>
        <w:pStyle w:val="Caption"/>
        <w:spacing w:after="120"/>
        <w:ind w:left="1418" w:hanging="1418"/>
      </w:pPr>
      <w:bookmarkStart w:id="2" w:name="_Ref1149432"/>
      <w:r w:rsidRPr="00101A9A">
        <w:t xml:space="preserve">Observation </w:t>
      </w:r>
      <w:r w:rsidR="00EF5BAC" w:rsidRPr="00101A9A">
        <w:fldChar w:fldCharType="begin"/>
      </w:r>
      <w:r w:rsidR="00EF5BAC" w:rsidRPr="00101A9A">
        <w:instrText xml:space="preserve"> SEQ Observation \* ARABIC </w:instrText>
      </w:r>
      <w:r w:rsidR="00EF5BAC" w:rsidRPr="00101A9A">
        <w:fldChar w:fldCharType="separate"/>
      </w:r>
      <w:r w:rsidR="002362CF">
        <w:rPr>
          <w:noProof/>
        </w:rPr>
        <w:t>1</w:t>
      </w:r>
      <w:r w:rsidR="00EF5BAC" w:rsidRPr="00101A9A">
        <w:fldChar w:fldCharType="end"/>
      </w:r>
      <w:r w:rsidRPr="00101A9A">
        <w:t>:</w:t>
      </w:r>
      <w:r w:rsidRPr="00101A9A">
        <w:tab/>
      </w:r>
      <w:r w:rsidR="00A05428" w:rsidRPr="00101A9A">
        <w:t xml:space="preserve">Poor SNR and/or poor SINR </w:t>
      </w:r>
      <w:r w:rsidR="00151D2A" w:rsidRPr="00101A9A">
        <w:t xml:space="preserve">in the DL </w:t>
      </w:r>
      <w:r w:rsidR="00A05428" w:rsidRPr="00101A9A">
        <w:t xml:space="preserve">may cause </w:t>
      </w:r>
      <w:r w:rsidR="00151D2A" w:rsidRPr="00101A9A">
        <w:t xml:space="preserve">the </w:t>
      </w:r>
      <w:r w:rsidR="00A05428" w:rsidRPr="00101A9A">
        <w:t>UE not being capable of fulfilling BC without UL beam sweeping.</w:t>
      </w:r>
      <w:bookmarkEnd w:id="2"/>
    </w:p>
    <w:p w14:paraId="228ADEC0" w14:textId="2D673D61" w:rsidR="009E5484" w:rsidRPr="00101A9A" w:rsidRDefault="009E5484" w:rsidP="009E5484">
      <w:pPr>
        <w:pStyle w:val="Caption"/>
        <w:spacing w:after="120"/>
        <w:ind w:left="1418" w:hanging="1418"/>
      </w:pPr>
      <w:bookmarkStart w:id="3" w:name="_Ref1149439"/>
      <w:r w:rsidRPr="00101A9A">
        <w:t xml:space="preserve">Observation </w:t>
      </w:r>
      <w:r w:rsidRPr="00101A9A">
        <w:fldChar w:fldCharType="begin"/>
      </w:r>
      <w:r w:rsidRPr="00101A9A">
        <w:instrText xml:space="preserve"> SEQ Observation \* ARABIC </w:instrText>
      </w:r>
      <w:r w:rsidRPr="00101A9A">
        <w:fldChar w:fldCharType="separate"/>
      </w:r>
      <w:r w:rsidR="002362CF">
        <w:rPr>
          <w:noProof/>
        </w:rPr>
        <w:t>2</w:t>
      </w:r>
      <w:r w:rsidRPr="00101A9A">
        <w:fldChar w:fldCharType="end"/>
      </w:r>
      <w:r w:rsidRPr="00101A9A">
        <w:t>:</w:t>
      </w:r>
      <w:r w:rsidRPr="00101A9A">
        <w:tab/>
        <w:t>The BC test and the test of spherical coverage need to be specified in a way the SNR (and SINR) is unambiguously define</w:t>
      </w:r>
      <w:r w:rsidR="00FE3182">
        <w:t>d.</w:t>
      </w:r>
      <w:bookmarkEnd w:id="3"/>
    </w:p>
    <w:p w14:paraId="085C5D6D" w14:textId="457FFA73" w:rsidR="009E5484" w:rsidRPr="00101A9A" w:rsidRDefault="009E5484" w:rsidP="009E5484">
      <w:pPr>
        <w:pStyle w:val="BodyText"/>
      </w:pPr>
      <w:r w:rsidRPr="00101A9A">
        <w:t xml:space="preserve">In a real network scenario, the SNR and/or SINR may vary and is not </w:t>
      </w:r>
      <w:r w:rsidR="002362CF">
        <w:t>correlated with</w:t>
      </w:r>
      <w:r w:rsidRPr="00101A9A">
        <w:t xml:space="preserve"> a capability bit (UE feature 2-20)</w:t>
      </w:r>
      <w:r w:rsidR="00A63616" w:rsidRPr="00101A9A">
        <w:t xml:space="preserve">. </w:t>
      </w:r>
    </w:p>
    <w:p w14:paraId="7499AB7A" w14:textId="72980C7E" w:rsidR="0046501D" w:rsidRPr="00101A9A" w:rsidRDefault="0046501D" w:rsidP="0046501D">
      <w:pPr>
        <w:pStyle w:val="Caption"/>
        <w:spacing w:after="120"/>
        <w:ind w:left="1418" w:hanging="1418"/>
      </w:pPr>
      <w:bookmarkStart w:id="4" w:name="_Ref1149451"/>
      <w:r w:rsidRPr="00101A9A">
        <w:t xml:space="preserve">Observation </w:t>
      </w:r>
      <w:r w:rsidR="00EF5BAC" w:rsidRPr="00101A9A">
        <w:fldChar w:fldCharType="begin"/>
      </w:r>
      <w:r w:rsidR="00EF5BAC" w:rsidRPr="00101A9A">
        <w:instrText xml:space="preserve"> SEQ Observation \* ARABIC </w:instrText>
      </w:r>
      <w:r w:rsidR="00EF5BAC" w:rsidRPr="00101A9A">
        <w:fldChar w:fldCharType="separate"/>
      </w:r>
      <w:r w:rsidR="002362CF">
        <w:rPr>
          <w:noProof/>
        </w:rPr>
        <w:t>3</w:t>
      </w:r>
      <w:r w:rsidR="00EF5BAC" w:rsidRPr="00101A9A">
        <w:fldChar w:fldCharType="end"/>
      </w:r>
      <w:r w:rsidRPr="00101A9A">
        <w:t xml:space="preserve">: </w:t>
      </w:r>
      <w:r w:rsidRPr="00101A9A">
        <w:tab/>
        <w:t>A UE may in some cases be capable of BC without UL beam sweeping but in other cases not</w:t>
      </w:r>
      <w:r w:rsidR="00A63616" w:rsidRPr="00101A9A">
        <w:t>.</w:t>
      </w:r>
      <w:bookmarkEnd w:id="4"/>
    </w:p>
    <w:p w14:paraId="07125183" w14:textId="08B447D6" w:rsidR="00A63616" w:rsidRPr="00101A9A" w:rsidRDefault="00A63616" w:rsidP="00101A9A">
      <w:pPr>
        <w:spacing w:after="120"/>
      </w:pPr>
      <w:r w:rsidRPr="00101A9A">
        <w:t>Even a UE that has set its UE feature 2-20 to 0 may in some scenarios be capable of BC</w:t>
      </w:r>
      <w:r w:rsidR="00856106" w:rsidRPr="00101A9A">
        <w:t>. A</w:t>
      </w:r>
      <w:r w:rsidRPr="00101A9A">
        <w:t>nother UE with UE feature 2-20 set to 1 may in some poor scenarios not be capable of BC.</w:t>
      </w:r>
      <w:r w:rsidR="006400E1" w:rsidRPr="00101A9A">
        <w:t xml:space="preserve"> A UE that has signaled 2-20 set to 1 and lose its BC </w:t>
      </w:r>
      <w:r w:rsidR="00856106" w:rsidRPr="00101A9A">
        <w:t>p</w:t>
      </w:r>
      <w:r w:rsidR="006400E1" w:rsidRPr="00101A9A">
        <w:t>erformance (e.g. due to an interferer)</w:t>
      </w:r>
      <w:r w:rsidRPr="00101A9A">
        <w:t xml:space="preserve"> may </w:t>
      </w:r>
      <w:r w:rsidR="006400E1" w:rsidRPr="00101A9A">
        <w:t>cause problem</w:t>
      </w:r>
      <w:r w:rsidR="004110C5" w:rsidRPr="00101A9A">
        <w:t xml:space="preserve"> in</w:t>
      </w:r>
      <w:r w:rsidRPr="00101A9A">
        <w:t xml:space="preserve"> the network</w:t>
      </w:r>
      <w:r w:rsidR="006400E1" w:rsidRPr="00101A9A">
        <w:t>.</w:t>
      </w:r>
    </w:p>
    <w:p w14:paraId="4213A9F9" w14:textId="0070E0B4" w:rsidR="006400E1" w:rsidRPr="00101A9A" w:rsidRDefault="00101A9A" w:rsidP="00101A9A">
      <w:pPr>
        <w:pStyle w:val="Caption"/>
        <w:spacing w:after="120"/>
        <w:ind w:left="1418" w:hanging="1418"/>
      </w:pPr>
      <w:bookmarkStart w:id="5" w:name="_Ref1149462"/>
      <w:r w:rsidRPr="00101A9A">
        <w:t xml:space="preserve">Observation </w:t>
      </w:r>
      <w:r w:rsidRPr="00101A9A">
        <w:fldChar w:fldCharType="begin"/>
      </w:r>
      <w:r w:rsidRPr="00101A9A">
        <w:instrText xml:space="preserve"> SEQ Observation \* ARABIC </w:instrText>
      </w:r>
      <w:r w:rsidRPr="00101A9A">
        <w:fldChar w:fldCharType="separate"/>
      </w:r>
      <w:r w:rsidR="002362CF">
        <w:rPr>
          <w:noProof/>
        </w:rPr>
        <w:t>4</w:t>
      </w:r>
      <w:r w:rsidRPr="00101A9A">
        <w:fldChar w:fldCharType="end"/>
      </w:r>
      <w:r w:rsidRPr="00101A9A">
        <w:t xml:space="preserve">: </w:t>
      </w:r>
      <w:r w:rsidRPr="00101A9A">
        <w:tab/>
        <w:t>A UE that has signaled 2-20 set to 1 and lose its BC performance (e.g. due to an interferer) may cause problem in the network.</w:t>
      </w:r>
      <w:bookmarkEnd w:id="5"/>
    </w:p>
    <w:p w14:paraId="6A7A4B83" w14:textId="72EF5157" w:rsidR="006400E1" w:rsidRPr="00101A9A" w:rsidRDefault="00D2715D" w:rsidP="00101A9A">
      <w:pPr>
        <w:spacing w:after="120"/>
      </w:pPr>
      <w:r>
        <w:t xml:space="preserve">For Rel-16 BC, </w:t>
      </w:r>
      <w:r w:rsidR="00101A9A" w:rsidRPr="00101A9A">
        <w:t>RAN4 need to study how to handle UEs that has signaled 2-20 set to 1 and lose its BC performance.</w:t>
      </w:r>
    </w:p>
    <w:p w14:paraId="77511102" w14:textId="630D3740" w:rsidR="00101A9A" w:rsidRPr="00101A9A" w:rsidRDefault="00101A9A" w:rsidP="00FE3182">
      <w:pPr>
        <w:pStyle w:val="Caption"/>
        <w:spacing w:after="120"/>
        <w:ind w:left="1418" w:hanging="1418"/>
      </w:pPr>
      <w:bookmarkStart w:id="6" w:name="_Ref1149478"/>
      <w:r w:rsidRPr="00101A9A">
        <w:t xml:space="preserve">Proposal </w:t>
      </w:r>
      <w:r w:rsidRPr="00101A9A">
        <w:fldChar w:fldCharType="begin"/>
      </w:r>
      <w:r w:rsidRPr="00101A9A">
        <w:instrText xml:space="preserve"> SEQ Proposal \* ARABIC </w:instrText>
      </w:r>
      <w:r w:rsidRPr="00101A9A">
        <w:fldChar w:fldCharType="separate"/>
      </w:r>
      <w:r w:rsidR="002362CF">
        <w:rPr>
          <w:noProof/>
        </w:rPr>
        <w:t>1</w:t>
      </w:r>
      <w:r w:rsidRPr="00101A9A">
        <w:fldChar w:fldCharType="end"/>
      </w:r>
      <w:r w:rsidRPr="00101A9A">
        <w:t xml:space="preserve">: </w:t>
      </w:r>
      <w:r w:rsidR="00FE3182">
        <w:tab/>
      </w:r>
      <w:r w:rsidR="00D2715D">
        <w:t xml:space="preserve">For Rel-16 BC, </w:t>
      </w:r>
      <w:r w:rsidRPr="00101A9A">
        <w:t>RAN4 should study how to handle UEs that has signaled 2-20 set to 1 and lose its BC performance.</w:t>
      </w:r>
      <w:bookmarkEnd w:id="6"/>
    </w:p>
    <w:p w14:paraId="16C23C1D" w14:textId="77777777" w:rsidR="00C82A2C" w:rsidRPr="00101A9A" w:rsidRDefault="00A2078A" w:rsidP="00862ABA">
      <w:pPr>
        <w:pStyle w:val="Heading1"/>
        <w:keepLines/>
        <w:pBdr>
          <w:top w:val="single" w:sz="12" w:space="3" w:color="auto"/>
        </w:pBdr>
        <w:overflowPunct w:val="0"/>
        <w:autoSpaceDE w:val="0"/>
        <w:autoSpaceDN w:val="0"/>
        <w:adjustRightInd w:val="0"/>
        <w:spacing w:after="180"/>
        <w:ind w:right="0"/>
        <w:textAlignment w:val="baseline"/>
      </w:pPr>
      <w:r w:rsidRPr="00101A9A">
        <w:t>Conclusion</w:t>
      </w:r>
      <w:bookmarkStart w:id="7" w:name="_GoBack"/>
      <w:bookmarkEnd w:id="7"/>
    </w:p>
    <w:p w14:paraId="3488D949" w14:textId="54195838" w:rsidR="00C23047" w:rsidRPr="00101A9A" w:rsidRDefault="00E06DE7" w:rsidP="00C23047">
      <w:pPr>
        <w:pStyle w:val="BodyText"/>
      </w:pPr>
      <w:r w:rsidRPr="00101A9A">
        <w:t xml:space="preserve">In this contribution we have discussed </w:t>
      </w:r>
      <w:r w:rsidR="00D00F4B" w:rsidRPr="00101A9A">
        <w:t xml:space="preserve">beam correspondence </w:t>
      </w:r>
      <w:r w:rsidR="00101A9A">
        <w:t>from an SNR and SINR point of view</w:t>
      </w:r>
      <w:r w:rsidR="00C23047" w:rsidRPr="00101A9A">
        <w:t>. We have made the following observations and proposals:</w:t>
      </w:r>
    </w:p>
    <w:p w14:paraId="18C2B9D9" w14:textId="014567D0" w:rsidR="00487584" w:rsidRPr="00FE3182" w:rsidRDefault="00101A9A" w:rsidP="00C23047">
      <w:pPr>
        <w:pStyle w:val="BodyText"/>
        <w:ind w:left="1418" w:hanging="1418"/>
        <w:rPr>
          <w:b/>
        </w:rPr>
      </w:pPr>
      <w:r w:rsidRPr="00FE3182">
        <w:rPr>
          <w:b/>
        </w:rPr>
        <w:fldChar w:fldCharType="begin"/>
      </w:r>
      <w:r w:rsidRPr="00FE3182">
        <w:rPr>
          <w:b/>
        </w:rPr>
        <w:instrText xml:space="preserve"> REF _Ref1149432 \h </w:instrText>
      </w:r>
      <w:r w:rsidR="00FE3182">
        <w:rPr>
          <w:b/>
        </w:rPr>
        <w:instrText xml:space="preserve"> \* MERGEFORMAT </w:instrText>
      </w:r>
      <w:r w:rsidRPr="00FE3182">
        <w:rPr>
          <w:b/>
        </w:rPr>
      </w:r>
      <w:r w:rsidRPr="00FE3182">
        <w:rPr>
          <w:b/>
        </w:rPr>
        <w:fldChar w:fldCharType="separate"/>
      </w:r>
      <w:r w:rsidR="002362CF" w:rsidRPr="002362CF">
        <w:rPr>
          <w:b/>
        </w:rPr>
        <w:t xml:space="preserve">Observation </w:t>
      </w:r>
      <w:r w:rsidR="002362CF" w:rsidRPr="002362CF">
        <w:rPr>
          <w:b/>
          <w:noProof/>
        </w:rPr>
        <w:t>1</w:t>
      </w:r>
      <w:r w:rsidR="002362CF" w:rsidRPr="002362CF">
        <w:rPr>
          <w:b/>
        </w:rPr>
        <w:t>:</w:t>
      </w:r>
      <w:r w:rsidR="002362CF" w:rsidRPr="002362CF">
        <w:rPr>
          <w:b/>
        </w:rPr>
        <w:tab/>
        <w:t>Poor SNR and/or poor SINR in the DL may cause the UE not being capable of fulfilling BC without UL beam sweeping.</w:t>
      </w:r>
      <w:r w:rsidRPr="00FE3182">
        <w:rPr>
          <w:b/>
        </w:rPr>
        <w:fldChar w:fldCharType="end"/>
      </w:r>
    </w:p>
    <w:p w14:paraId="32AF1CA9" w14:textId="3EAEDEC5" w:rsidR="00101A9A" w:rsidRPr="00FE3182" w:rsidRDefault="00101A9A" w:rsidP="00C23047">
      <w:pPr>
        <w:pStyle w:val="BodyText"/>
        <w:ind w:left="1418" w:hanging="1418"/>
        <w:rPr>
          <w:b/>
        </w:rPr>
      </w:pPr>
      <w:r w:rsidRPr="00FE3182">
        <w:rPr>
          <w:b/>
        </w:rPr>
        <w:fldChar w:fldCharType="begin"/>
      </w:r>
      <w:r w:rsidRPr="00FE3182">
        <w:rPr>
          <w:b/>
        </w:rPr>
        <w:instrText xml:space="preserve"> REF _Ref1149439 \h </w:instrText>
      </w:r>
      <w:r w:rsidR="00FE3182">
        <w:rPr>
          <w:b/>
        </w:rPr>
        <w:instrText xml:space="preserve"> \* MERGEFORMAT </w:instrText>
      </w:r>
      <w:r w:rsidRPr="00FE3182">
        <w:rPr>
          <w:b/>
        </w:rPr>
      </w:r>
      <w:r w:rsidRPr="00FE3182">
        <w:rPr>
          <w:b/>
        </w:rPr>
        <w:fldChar w:fldCharType="separate"/>
      </w:r>
      <w:r w:rsidR="002362CF" w:rsidRPr="002362CF">
        <w:rPr>
          <w:b/>
        </w:rPr>
        <w:t xml:space="preserve">Observation </w:t>
      </w:r>
      <w:r w:rsidR="002362CF" w:rsidRPr="002362CF">
        <w:rPr>
          <w:b/>
          <w:noProof/>
        </w:rPr>
        <w:t>2</w:t>
      </w:r>
      <w:r w:rsidR="002362CF" w:rsidRPr="002362CF">
        <w:rPr>
          <w:b/>
        </w:rPr>
        <w:t>:</w:t>
      </w:r>
      <w:r w:rsidR="002362CF" w:rsidRPr="002362CF">
        <w:rPr>
          <w:b/>
        </w:rPr>
        <w:tab/>
        <w:t>The BC test and the test of spherical coverage need to be specified in a way the SNR (and SINR) is unambiguously defined.</w:t>
      </w:r>
      <w:r w:rsidRPr="00FE3182">
        <w:rPr>
          <w:b/>
        </w:rPr>
        <w:fldChar w:fldCharType="end"/>
      </w:r>
    </w:p>
    <w:p w14:paraId="6F7FC1BC" w14:textId="13537028" w:rsidR="00101A9A" w:rsidRPr="00FE3182" w:rsidRDefault="00101A9A" w:rsidP="00C23047">
      <w:pPr>
        <w:pStyle w:val="BodyText"/>
        <w:ind w:left="1418" w:hanging="1418"/>
        <w:rPr>
          <w:b/>
        </w:rPr>
      </w:pPr>
      <w:r w:rsidRPr="00FE3182">
        <w:rPr>
          <w:b/>
        </w:rPr>
        <w:fldChar w:fldCharType="begin"/>
      </w:r>
      <w:r w:rsidRPr="00FE3182">
        <w:rPr>
          <w:b/>
        </w:rPr>
        <w:instrText xml:space="preserve"> REF _Ref1149451 \h </w:instrText>
      </w:r>
      <w:r w:rsidR="00FE3182">
        <w:rPr>
          <w:b/>
        </w:rPr>
        <w:instrText xml:space="preserve"> \* MERGEFORMAT </w:instrText>
      </w:r>
      <w:r w:rsidRPr="00FE3182">
        <w:rPr>
          <w:b/>
        </w:rPr>
      </w:r>
      <w:r w:rsidRPr="00FE3182">
        <w:rPr>
          <w:b/>
        </w:rPr>
        <w:fldChar w:fldCharType="separate"/>
      </w:r>
      <w:r w:rsidR="002362CF" w:rsidRPr="002362CF">
        <w:rPr>
          <w:b/>
        </w:rPr>
        <w:t xml:space="preserve">Observation </w:t>
      </w:r>
      <w:r w:rsidR="002362CF" w:rsidRPr="002362CF">
        <w:rPr>
          <w:b/>
          <w:noProof/>
        </w:rPr>
        <w:t>3</w:t>
      </w:r>
      <w:r w:rsidR="002362CF" w:rsidRPr="002362CF">
        <w:rPr>
          <w:b/>
        </w:rPr>
        <w:t xml:space="preserve">: </w:t>
      </w:r>
      <w:r w:rsidR="002362CF" w:rsidRPr="002362CF">
        <w:rPr>
          <w:b/>
        </w:rPr>
        <w:tab/>
        <w:t>A UE may in some cases be capable of BC without UL beam sweeping but in other cases not.</w:t>
      </w:r>
      <w:r w:rsidRPr="00FE3182">
        <w:rPr>
          <w:b/>
        </w:rPr>
        <w:fldChar w:fldCharType="end"/>
      </w:r>
    </w:p>
    <w:p w14:paraId="5503C0F7" w14:textId="6B245C91" w:rsidR="00101A9A" w:rsidRPr="00FE3182" w:rsidRDefault="00101A9A" w:rsidP="00C23047">
      <w:pPr>
        <w:pStyle w:val="BodyText"/>
        <w:ind w:left="1418" w:hanging="1418"/>
        <w:rPr>
          <w:b/>
        </w:rPr>
      </w:pPr>
      <w:r w:rsidRPr="00FE3182">
        <w:rPr>
          <w:b/>
        </w:rPr>
        <w:fldChar w:fldCharType="begin"/>
      </w:r>
      <w:r w:rsidRPr="00FE3182">
        <w:rPr>
          <w:b/>
        </w:rPr>
        <w:instrText xml:space="preserve"> REF _Ref1149462 \h </w:instrText>
      </w:r>
      <w:r w:rsidR="00FE3182">
        <w:rPr>
          <w:b/>
        </w:rPr>
        <w:instrText xml:space="preserve"> \* MERGEFORMAT </w:instrText>
      </w:r>
      <w:r w:rsidRPr="00FE3182">
        <w:rPr>
          <w:b/>
        </w:rPr>
      </w:r>
      <w:r w:rsidRPr="00FE3182">
        <w:rPr>
          <w:b/>
        </w:rPr>
        <w:fldChar w:fldCharType="separate"/>
      </w:r>
      <w:r w:rsidR="002362CF" w:rsidRPr="002362CF">
        <w:rPr>
          <w:b/>
        </w:rPr>
        <w:t xml:space="preserve">Observation </w:t>
      </w:r>
      <w:r w:rsidR="002362CF" w:rsidRPr="002362CF">
        <w:rPr>
          <w:b/>
          <w:noProof/>
        </w:rPr>
        <w:t>4</w:t>
      </w:r>
      <w:r w:rsidR="002362CF" w:rsidRPr="002362CF">
        <w:rPr>
          <w:b/>
        </w:rPr>
        <w:t xml:space="preserve">: </w:t>
      </w:r>
      <w:r w:rsidR="002362CF" w:rsidRPr="002362CF">
        <w:rPr>
          <w:b/>
        </w:rPr>
        <w:tab/>
        <w:t>A UE that has signaled 2-20 set to 1 and lose its BC performance (e.g. due to an interferer) may cause problem in the network.</w:t>
      </w:r>
      <w:r w:rsidRPr="00FE3182">
        <w:rPr>
          <w:b/>
        </w:rPr>
        <w:fldChar w:fldCharType="end"/>
      </w:r>
    </w:p>
    <w:p w14:paraId="12F53D02" w14:textId="22E59102" w:rsidR="00101A9A" w:rsidRPr="00D2715D" w:rsidRDefault="00101A9A" w:rsidP="00C23047">
      <w:pPr>
        <w:pStyle w:val="BodyText"/>
        <w:ind w:left="1418" w:hanging="1418"/>
        <w:rPr>
          <w:b/>
        </w:rPr>
      </w:pPr>
      <w:r w:rsidRPr="00D2715D">
        <w:rPr>
          <w:b/>
        </w:rPr>
        <w:fldChar w:fldCharType="begin"/>
      </w:r>
      <w:r w:rsidRPr="00D2715D">
        <w:rPr>
          <w:b/>
        </w:rPr>
        <w:instrText xml:space="preserve"> REF _Ref1149478 \h </w:instrText>
      </w:r>
      <w:r w:rsidR="00FE3182" w:rsidRPr="00D2715D">
        <w:rPr>
          <w:b/>
        </w:rPr>
        <w:instrText xml:space="preserve"> \* MERGEFORMAT </w:instrText>
      </w:r>
      <w:r w:rsidRPr="00D2715D">
        <w:rPr>
          <w:b/>
        </w:rPr>
      </w:r>
      <w:r w:rsidRPr="00D2715D">
        <w:rPr>
          <w:b/>
        </w:rPr>
        <w:fldChar w:fldCharType="separate"/>
      </w:r>
      <w:r w:rsidR="002362CF" w:rsidRPr="002362CF">
        <w:rPr>
          <w:b/>
        </w:rPr>
        <w:t xml:space="preserve">Proposal </w:t>
      </w:r>
      <w:r w:rsidR="002362CF" w:rsidRPr="002362CF">
        <w:rPr>
          <w:b/>
          <w:noProof/>
        </w:rPr>
        <w:t>1</w:t>
      </w:r>
      <w:r w:rsidR="002362CF" w:rsidRPr="002362CF">
        <w:rPr>
          <w:b/>
        </w:rPr>
        <w:t xml:space="preserve">: </w:t>
      </w:r>
      <w:r w:rsidR="002362CF" w:rsidRPr="002362CF">
        <w:rPr>
          <w:b/>
        </w:rPr>
        <w:tab/>
        <w:t>For Rel-16 BC, RAN4 should study how to handle UEs that has signaled 2-20 set to 1 and lose its BC performance.</w:t>
      </w:r>
      <w:r w:rsidRPr="00D2715D">
        <w:rPr>
          <w:b/>
        </w:rPr>
        <w:fldChar w:fldCharType="end"/>
      </w:r>
    </w:p>
    <w:p w14:paraId="2C261F1C" w14:textId="77777777" w:rsidR="00862ABA" w:rsidRPr="00101A9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101A9A">
        <w:t>References</w:t>
      </w:r>
    </w:p>
    <w:p w14:paraId="0EE687EB" w14:textId="03C7734E" w:rsidR="00D37087" w:rsidRPr="00101A9A" w:rsidRDefault="008D1E3D" w:rsidP="00FE623C">
      <w:pPr>
        <w:pStyle w:val="references"/>
        <w:numPr>
          <w:ilvl w:val="0"/>
          <w:numId w:val="7"/>
        </w:numPr>
        <w:tabs>
          <w:tab w:val="left" w:pos="1560"/>
        </w:tabs>
        <w:rPr>
          <w:noProof w:val="0"/>
        </w:rPr>
      </w:pPr>
      <w:bookmarkStart w:id="8" w:name="_Ref536518839"/>
      <w:bookmarkStart w:id="9" w:name="_Ref528673925"/>
      <w:bookmarkStart w:id="10" w:name="_Ref525739026"/>
      <w:bookmarkStart w:id="11" w:name="_Ref513646437"/>
      <w:bookmarkStart w:id="12" w:name="_Ref508875069"/>
      <w:bookmarkStart w:id="13" w:name="_Ref508874720"/>
      <w:bookmarkStart w:id="14" w:name="_Ref484009661"/>
      <w:bookmarkStart w:id="15" w:name="_Ref447703865"/>
      <w:bookmarkStart w:id="16" w:name="_Ref455046197"/>
      <w:bookmarkStart w:id="17" w:name="_Ref473734040"/>
      <w:bookmarkStart w:id="18" w:name="_Ref481653652"/>
      <w:bookmarkStart w:id="19" w:name="_Ref447634836"/>
      <w:bookmarkStart w:id="20" w:name="_Ref447633816"/>
      <w:r w:rsidRPr="00101A9A">
        <w:rPr>
          <w:noProof w:val="0"/>
        </w:rPr>
        <w:t>RP-182879</w:t>
      </w:r>
      <w:r w:rsidRPr="00101A9A">
        <w:rPr>
          <w:noProof w:val="0"/>
        </w:rPr>
        <w:tab/>
        <w:t xml:space="preserve">“WF on Beam Correspondence”, </w:t>
      </w:r>
      <w:r w:rsidRPr="00101A9A">
        <w:rPr>
          <w:i/>
          <w:noProof w:val="0"/>
        </w:rPr>
        <w:t>Samsung, Apple, Nokia, Intel,</w:t>
      </w:r>
      <w:r w:rsidRPr="00101A9A">
        <w:rPr>
          <w:rFonts w:eastAsia="SimSun"/>
          <w:noProof w:val="0"/>
          <w:szCs w:val="20"/>
        </w:rPr>
        <w:t xml:space="preserve"> </w:t>
      </w:r>
      <w:r w:rsidRPr="00101A9A">
        <w:rPr>
          <w:i/>
          <w:noProof w:val="0"/>
        </w:rPr>
        <w:t>ZTE, Qualcomm, MediaTek, et.al.</w:t>
      </w:r>
      <w:bookmarkEnd w:id="8"/>
      <w:bookmarkEnd w:id="9"/>
      <w:bookmarkEnd w:id="10"/>
      <w:bookmarkEnd w:id="11"/>
      <w:bookmarkEnd w:id="12"/>
      <w:bookmarkEnd w:id="13"/>
      <w:bookmarkEnd w:id="14"/>
      <w:bookmarkEnd w:id="15"/>
      <w:bookmarkEnd w:id="16"/>
      <w:bookmarkEnd w:id="17"/>
      <w:bookmarkEnd w:id="18"/>
      <w:bookmarkEnd w:id="19"/>
      <w:bookmarkEnd w:id="20"/>
    </w:p>
    <w:sectPr w:rsidR="00D37087" w:rsidRPr="00101A9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9C721" w14:textId="77777777" w:rsidR="00706A0B" w:rsidRDefault="00706A0B">
      <w:r>
        <w:separator/>
      </w:r>
    </w:p>
  </w:endnote>
  <w:endnote w:type="continuationSeparator" w:id="0">
    <w:p w14:paraId="4919503C" w14:textId="77777777" w:rsidR="00706A0B" w:rsidRDefault="0070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2AC9D" w14:textId="77777777" w:rsidR="00706A0B" w:rsidRDefault="00706A0B">
      <w:r>
        <w:separator/>
      </w:r>
    </w:p>
  </w:footnote>
  <w:footnote w:type="continuationSeparator" w:id="0">
    <w:p w14:paraId="340867EF" w14:textId="77777777" w:rsidR="00706A0B" w:rsidRDefault="00706A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1"/>
  </w:num>
  <w:num w:numId="4">
    <w:abstractNumId w:val="4"/>
  </w:num>
  <w:num w:numId="5">
    <w:abstractNumId w:val="2"/>
  </w:num>
  <w:num w:numId="6">
    <w:abstractNumId w:val="9"/>
  </w:num>
  <w:num w:numId="7">
    <w:abstractNumId w:val="10"/>
  </w:num>
  <w:num w:numId="8">
    <w:abstractNumId w:val="1"/>
  </w:num>
  <w:num w:numId="9">
    <w:abstractNumId w:val="6"/>
  </w:num>
  <w:num w:numId="10">
    <w:abstractNumId w:val="7"/>
  </w:num>
  <w:num w:numId="11">
    <w:abstractNumId w:val="8"/>
  </w:num>
  <w:num w:numId="12">
    <w:abstractNumId w:val="3"/>
  </w:num>
  <w:num w:numId="13">
    <w:abstractNumId w:val="1"/>
  </w:num>
  <w:num w:numId="1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8CD"/>
    <w:rsid w:val="00005BDB"/>
    <w:rsid w:val="0001008F"/>
    <w:rsid w:val="000105D8"/>
    <w:rsid w:val="0001067C"/>
    <w:rsid w:val="00010B48"/>
    <w:rsid w:val="0001115D"/>
    <w:rsid w:val="00012053"/>
    <w:rsid w:val="00012E79"/>
    <w:rsid w:val="00013576"/>
    <w:rsid w:val="0001373B"/>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C81"/>
    <w:rsid w:val="00071FFD"/>
    <w:rsid w:val="00072165"/>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41F4"/>
    <w:rsid w:val="00084A20"/>
    <w:rsid w:val="00084E14"/>
    <w:rsid w:val="0008503B"/>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37E5"/>
    <w:rsid w:val="000D39F6"/>
    <w:rsid w:val="000D3AE6"/>
    <w:rsid w:val="000D4086"/>
    <w:rsid w:val="000D4ABA"/>
    <w:rsid w:val="000D4D69"/>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0F7FCA"/>
    <w:rsid w:val="00100769"/>
    <w:rsid w:val="00100AD7"/>
    <w:rsid w:val="00100F60"/>
    <w:rsid w:val="001016E8"/>
    <w:rsid w:val="00101871"/>
    <w:rsid w:val="00101A9A"/>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1D2A"/>
    <w:rsid w:val="001526E9"/>
    <w:rsid w:val="00152992"/>
    <w:rsid w:val="00152C5E"/>
    <w:rsid w:val="001530F5"/>
    <w:rsid w:val="00153194"/>
    <w:rsid w:val="0015320D"/>
    <w:rsid w:val="00153615"/>
    <w:rsid w:val="001539D6"/>
    <w:rsid w:val="00153ECD"/>
    <w:rsid w:val="001541BA"/>
    <w:rsid w:val="0015536E"/>
    <w:rsid w:val="0015597E"/>
    <w:rsid w:val="00155C8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75"/>
    <w:rsid w:val="001B768B"/>
    <w:rsid w:val="001B7838"/>
    <w:rsid w:val="001C0466"/>
    <w:rsid w:val="001C05FF"/>
    <w:rsid w:val="001C0A9C"/>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E93"/>
    <w:rsid w:val="001E215C"/>
    <w:rsid w:val="001E22D2"/>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A66"/>
    <w:rsid w:val="00234F81"/>
    <w:rsid w:val="00235102"/>
    <w:rsid w:val="002351BC"/>
    <w:rsid w:val="002362CF"/>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1163"/>
    <w:rsid w:val="002A1985"/>
    <w:rsid w:val="002A248E"/>
    <w:rsid w:val="002A3429"/>
    <w:rsid w:val="002A3454"/>
    <w:rsid w:val="002A34CE"/>
    <w:rsid w:val="002A3C82"/>
    <w:rsid w:val="002A3D5C"/>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2976"/>
    <w:rsid w:val="002C3586"/>
    <w:rsid w:val="002C39C1"/>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E8F"/>
    <w:rsid w:val="003C3071"/>
    <w:rsid w:val="003C32D7"/>
    <w:rsid w:val="003C33E6"/>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BA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0C5"/>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81D"/>
    <w:rsid w:val="00420945"/>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9D7"/>
    <w:rsid w:val="00460790"/>
    <w:rsid w:val="00460B6E"/>
    <w:rsid w:val="00460F5D"/>
    <w:rsid w:val="00460FC6"/>
    <w:rsid w:val="0046122A"/>
    <w:rsid w:val="0046172C"/>
    <w:rsid w:val="00462196"/>
    <w:rsid w:val="004623CA"/>
    <w:rsid w:val="004623D8"/>
    <w:rsid w:val="00462F67"/>
    <w:rsid w:val="00463C76"/>
    <w:rsid w:val="00463C9B"/>
    <w:rsid w:val="0046432A"/>
    <w:rsid w:val="0046483C"/>
    <w:rsid w:val="00464E1F"/>
    <w:rsid w:val="0046501D"/>
    <w:rsid w:val="004654D8"/>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3FF"/>
    <w:rsid w:val="004805F2"/>
    <w:rsid w:val="0048076E"/>
    <w:rsid w:val="00480B60"/>
    <w:rsid w:val="00480F5A"/>
    <w:rsid w:val="004814CA"/>
    <w:rsid w:val="00481A0D"/>
    <w:rsid w:val="00481C96"/>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D68"/>
    <w:rsid w:val="00496500"/>
    <w:rsid w:val="00496592"/>
    <w:rsid w:val="0049668A"/>
    <w:rsid w:val="0049674D"/>
    <w:rsid w:val="00496846"/>
    <w:rsid w:val="00496897"/>
    <w:rsid w:val="00496DAC"/>
    <w:rsid w:val="004970C0"/>
    <w:rsid w:val="004973EA"/>
    <w:rsid w:val="00497490"/>
    <w:rsid w:val="004A002A"/>
    <w:rsid w:val="004A0574"/>
    <w:rsid w:val="004A0A8A"/>
    <w:rsid w:val="004A0EA7"/>
    <w:rsid w:val="004A0EB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3E5"/>
    <w:rsid w:val="004A755F"/>
    <w:rsid w:val="004A7882"/>
    <w:rsid w:val="004A7A72"/>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707"/>
    <w:rsid w:val="004F0988"/>
    <w:rsid w:val="004F0991"/>
    <w:rsid w:val="004F0A07"/>
    <w:rsid w:val="004F0AB1"/>
    <w:rsid w:val="004F0D65"/>
    <w:rsid w:val="004F16A6"/>
    <w:rsid w:val="004F23AC"/>
    <w:rsid w:val="004F25BE"/>
    <w:rsid w:val="004F2826"/>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BE3"/>
    <w:rsid w:val="005070ED"/>
    <w:rsid w:val="00507516"/>
    <w:rsid w:val="00507F8D"/>
    <w:rsid w:val="00507FCB"/>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3CA6"/>
    <w:rsid w:val="00534210"/>
    <w:rsid w:val="00535233"/>
    <w:rsid w:val="00535871"/>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887"/>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1E"/>
    <w:rsid w:val="005963A5"/>
    <w:rsid w:val="005964AE"/>
    <w:rsid w:val="00597244"/>
    <w:rsid w:val="00597466"/>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684B"/>
    <w:rsid w:val="005A72AD"/>
    <w:rsid w:val="005A7A0B"/>
    <w:rsid w:val="005B0A7A"/>
    <w:rsid w:val="005B11FF"/>
    <w:rsid w:val="005B1FFD"/>
    <w:rsid w:val="005B2235"/>
    <w:rsid w:val="005B26EC"/>
    <w:rsid w:val="005B2C28"/>
    <w:rsid w:val="005B3036"/>
    <w:rsid w:val="005B3196"/>
    <w:rsid w:val="005B3291"/>
    <w:rsid w:val="005B4301"/>
    <w:rsid w:val="005B442B"/>
    <w:rsid w:val="005B450D"/>
    <w:rsid w:val="005B464A"/>
    <w:rsid w:val="005B4D6C"/>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8A0"/>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722A"/>
    <w:rsid w:val="00637ACD"/>
    <w:rsid w:val="00637F16"/>
    <w:rsid w:val="006400CF"/>
    <w:rsid w:val="006400E1"/>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4250"/>
    <w:rsid w:val="00694540"/>
    <w:rsid w:val="00695912"/>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9A9"/>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A0B"/>
    <w:rsid w:val="00706CB0"/>
    <w:rsid w:val="00707671"/>
    <w:rsid w:val="00707F52"/>
    <w:rsid w:val="00710839"/>
    <w:rsid w:val="0071117F"/>
    <w:rsid w:val="0071134F"/>
    <w:rsid w:val="0071216F"/>
    <w:rsid w:val="007125F5"/>
    <w:rsid w:val="00712817"/>
    <w:rsid w:val="00712915"/>
    <w:rsid w:val="007134C5"/>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D"/>
    <w:rsid w:val="00727E5D"/>
    <w:rsid w:val="00727FD5"/>
    <w:rsid w:val="00727FE8"/>
    <w:rsid w:val="007304E7"/>
    <w:rsid w:val="00731B4B"/>
    <w:rsid w:val="00731B63"/>
    <w:rsid w:val="00731ECF"/>
    <w:rsid w:val="00732625"/>
    <w:rsid w:val="00732C34"/>
    <w:rsid w:val="007331D8"/>
    <w:rsid w:val="00733345"/>
    <w:rsid w:val="0073397A"/>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2C6"/>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8C4"/>
    <w:rsid w:val="00852B99"/>
    <w:rsid w:val="0085338B"/>
    <w:rsid w:val="008543D6"/>
    <w:rsid w:val="008546D0"/>
    <w:rsid w:val="00854D1F"/>
    <w:rsid w:val="0085511F"/>
    <w:rsid w:val="008560E4"/>
    <w:rsid w:val="00856106"/>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24A"/>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91E"/>
    <w:rsid w:val="008B5D84"/>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35C1"/>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3E"/>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D95"/>
    <w:rsid w:val="00931FB5"/>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0F30"/>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345"/>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DE"/>
    <w:rsid w:val="009E5484"/>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609"/>
    <w:rsid w:val="00A01519"/>
    <w:rsid w:val="00A0175B"/>
    <w:rsid w:val="00A0175E"/>
    <w:rsid w:val="00A019CF"/>
    <w:rsid w:val="00A0232F"/>
    <w:rsid w:val="00A026F9"/>
    <w:rsid w:val="00A03251"/>
    <w:rsid w:val="00A0462F"/>
    <w:rsid w:val="00A0463E"/>
    <w:rsid w:val="00A0539A"/>
    <w:rsid w:val="00A053B3"/>
    <w:rsid w:val="00A05428"/>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8A"/>
    <w:rsid w:val="00A20DD0"/>
    <w:rsid w:val="00A20FA9"/>
    <w:rsid w:val="00A21D9C"/>
    <w:rsid w:val="00A22D2E"/>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931"/>
    <w:rsid w:val="00A51DBF"/>
    <w:rsid w:val="00A5285C"/>
    <w:rsid w:val="00A52A11"/>
    <w:rsid w:val="00A52FA9"/>
    <w:rsid w:val="00A5390B"/>
    <w:rsid w:val="00A5493B"/>
    <w:rsid w:val="00A54DC6"/>
    <w:rsid w:val="00A5558B"/>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239C"/>
    <w:rsid w:val="00A63616"/>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D007E"/>
    <w:rsid w:val="00AD009C"/>
    <w:rsid w:val="00AD01E7"/>
    <w:rsid w:val="00AD09A6"/>
    <w:rsid w:val="00AD09BC"/>
    <w:rsid w:val="00AD0AEC"/>
    <w:rsid w:val="00AD0CF4"/>
    <w:rsid w:val="00AD0E21"/>
    <w:rsid w:val="00AD1BAA"/>
    <w:rsid w:val="00AD2416"/>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74CA"/>
    <w:rsid w:val="00B503F6"/>
    <w:rsid w:val="00B50569"/>
    <w:rsid w:val="00B50D59"/>
    <w:rsid w:val="00B50F0F"/>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3093"/>
    <w:rsid w:val="00BC3169"/>
    <w:rsid w:val="00BC32C1"/>
    <w:rsid w:val="00BC37AD"/>
    <w:rsid w:val="00BC3B37"/>
    <w:rsid w:val="00BC3D81"/>
    <w:rsid w:val="00BC4679"/>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490"/>
    <w:rsid w:val="00C7464E"/>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DF5"/>
    <w:rsid w:val="00CD4498"/>
    <w:rsid w:val="00CD4DCE"/>
    <w:rsid w:val="00CD52BE"/>
    <w:rsid w:val="00CD552C"/>
    <w:rsid w:val="00CD56B9"/>
    <w:rsid w:val="00CD57D4"/>
    <w:rsid w:val="00CD5819"/>
    <w:rsid w:val="00CD5AB3"/>
    <w:rsid w:val="00CD5E44"/>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EDB"/>
    <w:rsid w:val="00D247BB"/>
    <w:rsid w:val="00D2484A"/>
    <w:rsid w:val="00D24897"/>
    <w:rsid w:val="00D255EA"/>
    <w:rsid w:val="00D2593B"/>
    <w:rsid w:val="00D25B38"/>
    <w:rsid w:val="00D26060"/>
    <w:rsid w:val="00D26B71"/>
    <w:rsid w:val="00D26BFE"/>
    <w:rsid w:val="00D26CE0"/>
    <w:rsid w:val="00D26E04"/>
    <w:rsid w:val="00D2715D"/>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E92"/>
    <w:rsid w:val="00D564E2"/>
    <w:rsid w:val="00D5659F"/>
    <w:rsid w:val="00D56F9E"/>
    <w:rsid w:val="00D571E1"/>
    <w:rsid w:val="00D60461"/>
    <w:rsid w:val="00D604D3"/>
    <w:rsid w:val="00D607F0"/>
    <w:rsid w:val="00D60A2A"/>
    <w:rsid w:val="00D62342"/>
    <w:rsid w:val="00D6244D"/>
    <w:rsid w:val="00D624C2"/>
    <w:rsid w:val="00D6268F"/>
    <w:rsid w:val="00D626F5"/>
    <w:rsid w:val="00D6293A"/>
    <w:rsid w:val="00D62A95"/>
    <w:rsid w:val="00D62B32"/>
    <w:rsid w:val="00D630FC"/>
    <w:rsid w:val="00D63467"/>
    <w:rsid w:val="00D6403A"/>
    <w:rsid w:val="00D6408E"/>
    <w:rsid w:val="00D65436"/>
    <w:rsid w:val="00D6570A"/>
    <w:rsid w:val="00D66372"/>
    <w:rsid w:val="00D66509"/>
    <w:rsid w:val="00D666DF"/>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B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524"/>
    <w:rsid w:val="00F13C5B"/>
    <w:rsid w:val="00F14372"/>
    <w:rsid w:val="00F14A19"/>
    <w:rsid w:val="00F14D17"/>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B4C"/>
    <w:rsid w:val="00F62B23"/>
    <w:rsid w:val="00F62D9B"/>
    <w:rsid w:val="00F632CA"/>
    <w:rsid w:val="00F6362E"/>
    <w:rsid w:val="00F644EE"/>
    <w:rsid w:val="00F64CEB"/>
    <w:rsid w:val="00F64DF6"/>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FA6"/>
    <w:rsid w:val="00FC7632"/>
    <w:rsid w:val="00FC790A"/>
    <w:rsid w:val="00FC7992"/>
    <w:rsid w:val="00FC7B51"/>
    <w:rsid w:val="00FC7EE0"/>
    <w:rsid w:val="00FD00E0"/>
    <w:rsid w:val="00FD01BD"/>
    <w:rsid w:val="00FD03F0"/>
    <w:rsid w:val="00FD0774"/>
    <w:rsid w:val="00FD09E1"/>
    <w:rsid w:val="00FD0AFB"/>
    <w:rsid w:val="00FD1496"/>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3182"/>
    <w:rsid w:val="00FE485E"/>
    <w:rsid w:val="00FE4F87"/>
    <w:rsid w:val="00FE5258"/>
    <w:rsid w:val="00FE536E"/>
    <w:rsid w:val="00FE60F0"/>
    <w:rsid w:val="00FE61EE"/>
    <w:rsid w:val="00FE623C"/>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11717-DC17-41E5-B659-F2EC22AD0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804</Words>
  <Characters>4267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5</cp:revision>
  <cp:lastPrinted>2017-08-10T13:20:00Z</cp:lastPrinted>
  <dcterms:created xsi:type="dcterms:W3CDTF">2019-02-15T18:05:00Z</dcterms:created>
  <dcterms:modified xsi:type="dcterms:W3CDTF">2019-02-15T19:14:00Z</dcterms:modified>
</cp:coreProperties>
</file>